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94C4" w14:textId="77777777" w:rsidR="00901E5C" w:rsidRPr="00AA211F" w:rsidRDefault="00901E5C" w:rsidP="00AA3210">
      <w:pPr>
        <w:spacing w:before="0"/>
        <w:jc w:val="right"/>
        <w:rPr>
          <w:b/>
          <w:sz w:val="32"/>
          <w:szCs w:val="32"/>
        </w:rPr>
      </w:pPr>
      <w:bookmarkStart w:id="0" w:name="_GoBack"/>
      <w:bookmarkEnd w:id="0"/>
      <w:r w:rsidRPr="00AA211F">
        <w:rPr>
          <w:b/>
          <w:sz w:val="32"/>
          <w:szCs w:val="32"/>
        </w:rPr>
        <w:t>Handout #2</w:t>
      </w:r>
    </w:p>
    <w:p w14:paraId="604D0F66" w14:textId="77777777" w:rsidR="00901E5C" w:rsidRPr="00AA211F" w:rsidRDefault="00901E5C" w:rsidP="00AA211F">
      <w:pPr>
        <w:pStyle w:val="Heading1"/>
        <w:spacing w:before="120"/>
        <w:rPr>
          <w:color w:val="auto"/>
        </w:rPr>
      </w:pPr>
      <w:r w:rsidRPr="00AA211F">
        <w:rPr>
          <w:color w:val="auto"/>
        </w:rPr>
        <w:t>Midpoints to Determine Special Education Services Hours</w:t>
      </w:r>
    </w:p>
    <w:p w14:paraId="0754A0FD" w14:textId="77777777" w:rsidR="00901E5C" w:rsidRPr="00901E5C" w:rsidRDefault="00901E5C" w:rsidP="00901E5C">
      <w:r w:rsidRPr="00901E5C">
        <w:t xml:space="preserve">The midpoints are a calculated percentage of time that the “average” student with </w:t>
      </w:r>
      <w:r w:rsidR="00BC55AF">
        <w:t>an IEP by disability and instructional</w:t>
      </w:r>
      <w:r w:rsidRPr="00901E5C">
        <w:t xml:space="preserve"> setting receives special education and related services.  The primary disability of the student is one of the two factors to determi</w:t>
      </w:r>
      <w:r w:rsidR="00BC55AF">
        <w:t xml:space="preserve">ne the midpoint and the </w:t>
      </w:r>
      <w:r w:rsidRPr="00901E5C">
        <w:t>instructional setting is the other factor.</w:t>
      </w:r>
    </w:p>
    <w:p w14:paraId="54B0B0B9" w14:textId="77777777" w:rsidR="00901E5C" w:rsidRPr="00901E5C" w:rsidRDefault="00901E5C" w:rsidP="00901E5C">
      <w:r w:rsidRPr="00901E5C">
        <w:t>MDE conducted a statewide, stratified, random sample of all students who were eligible for the December 1, 2004 and 2006 child count.  More than 6,000 IEP cover and service pages were reviewed and calculated to determi</w:t>
      </w:r>
      <w:r w:rsidR="00BC55AF">
        <w:t>ne the midpoints of each instructional</w:t>
      </w:r>
      <w:r w:rsidRPr="00901E5C">
        <w:t xml:space="preserve"> setting by disability.  The ‘midpoint’ is the “average” percentage of a student’s membership hours that he/she is receiving special education and related services including indirect time.  The time of paraprofessionals and individuals doing Personal Care Attendant (PCA) duties was not calculated into the midpoints. There are several types of instructional delivery models where midpoints do not capture an accurate percentage of the time that a student receives special education and related services; hence, the special education service hours must be entered on MARSS. Those service models are more fully defined later in this document. </w:t>
      </w:r>
    </w:p>
    <w:p w14:paraId="1978867F" w14:textId="77777777" w:rsidR="00AA211F" w:rsidRDefault="00901E5C" w:rsidP="00901E5C">
      <w:pPr>
        <w:sectPr w:rsidR="00AA211F" w:rsidSect="00AA211F">
          <w:footerReference w:type="default" r:id="rId11"/>
          <w:footerReference w:type="first" r:id="rId12"/>
          <w:type w:val="continuous"/>
          <w:pgSz w:w="12240" w:h="15840" w:code="1"/>
          <w:pgMar w:top="720" w:right="864" w:bottom="720" w:left="864" w:header="0" w:footer="0" w:gutter="0"/>
          <w:cols w:space="720"/>
          <w:docGrid w:linePitch="326"/>
        </w:sectPr>
      </w:pPr>
      <w:r w:rsidRPr="00901E5C">
        <w:t>The percentages noted below are the results of the review of the IEPs in the sample. The percentage represents the average for that setting and disability that the students receive special education and related services for in a typical school day.</w:t>
      </w:r>
    </w:p>
    <w:p w14:paraId="3FCC6F15" w14:textId="77777777" w:rsidR="003C3F9D" w:rsidRPr="00AA211F" w:rsidRDefault="003C3F9D" w:rsidP="00AA211F">
      <w:pPr>
        <w:pStyle w:val="Heading2"/>
        <w:spacing w:before="240"/>
        <w:rPr>
          <w:color w:val="auto"/>
        </w:rPr>
      </w:pPr>
      <w:r w:rsidRPr="00AA211F">
        <w:rPr>
          <w:color w:val="auto"/>
        </w:rPr>
        <w:t>17-18 MEANS BY DISABILITY AND INSTRUCTIONAL SETTING</w:t>
      </w:r>
    </w:p>
    <w:tbl>
      <w:tblPr>
        <w:tblStyle w:val="TableGrid1"/>
        <w:tblW w:w="11605" w:type="dxa"/>
        <w:tblLayout w:type="fixed"/>
        <w:tblLook w:val="04A0" w:firstRow="1" w:lastRow="0" w:firstColumn="1" w:lastColumn="0" w:noHBand="0" w:noVBand="1"/>
      </w:tblPr>
      <w:tblGrid>
        <w:gridCol w:w="535"/>
        <w:gridCol w:w="3150"/>
        <w:gridCol w:w="990"/>
        <w:gridCol w:w="990"/>
        <w:gridCol w:w="990"/>
        <w:gridCol w:w="990"/>
        <w:gridCol w:w="990"/>
        <w:gridCol w:w="990"/>
        <w:gridCol w:w="990"/>
        <w:gridCol w:w="990"/>
      </w:tblGrid>
      <w:tr w:rsidR="00511E18" w:rsidRPr="001745E0" w14:paraId="159B5E35" w14:textId="77777777" w:rsidTr="00511E18">
        <w:trPr>
          <w:cnfStyle w:val="100000000000" w:firstRow="1" w:lastRow="0" w:firstColumn="0" w:lastColumn="0" w:oddVBand="0" w:evenVBand="0" w:oddHBand="0" w:evenHBand="0" w:firstRowFirstColumn="0" w:firstRowLastColumn="0" w:lastRowFirstColumn="0" w:lastRowLastColumn="0"/>
          <w:trHeight w:val="499"/>
          <w:tblHeader/>
        </w:trPr>
        <w:tc>
          <w:tcPr>
            <w:tcW w:w="535" w:type="dxa"/>
          </w:tcPr>
          <w:p w14:paraId="20CE5445" w14:textId="77777777" w:rsidR="00E31FAB" w:rsidRPr="001745E0" w:rsidRDefault="00E31FAB" w:rsidP="00AB5969">
            <w:pPr>
              <w:spacing w:before="60" w:after="60"/>
              <w:ind w:left="-34"/>
            </w:pPr>
          </w:p>
        </w:tc>
        <w:tc>
          <w:tcPr>
            <w:tcW w:w="3150" w:type="dxa"/>
          </w:tcPr>
          <w:p w14:paraId="2683942A" w14:textId="77777777" w:rsidR="00E31FAB" w:rsidRPr="001745E0" w:rsidRDefault="00E31FAB" w:rsidP="00AB5969">
            <w:pPr>
              <w:spacing w:before="60" w:after="60"/>
              <w:ind w:left="-34"/>
            </w:pPr>
            <w:r>
              <w:t>DISABILITY</w:t>
            </w:r>
          </w:p>
        </w:tc>
        <w:tc>
          <w:tcPr>
            <w:tcW w:w="990" w:type="dxa"/>
            <w:hideMark/>
          </w:tcPr>
          <w:p w14:paraId="20D7D279" w14:textId="77777777" w:rsidR="00E31FAB" w:rsidRPr="001745E0" w:rsidRDefault="00E31FAB" w:rsidP="00AA3210">
            <w:pPr>
              <w:spacing w:before="60" w:after="60"/>
              <w:ind w:left="-34"/>
            </w:pPr>
            <w:r w:rsidRPr="001745E0">
              <w:t>SETTING</w:t>
            </w:r>
            <w:r w:rsidRPr="001745E0">
              <w:br/>
              <w:t>I</w:t>
            </w:r>
          </w:p>
        </w:tc>
        <w:tc>
          <w:tcPr>
            <w:tcW w:w="990" w:type="dxa"/>
            <w:hideMark/>
          </w:tcPr>
          <w:p w14:paraId="12B21CD0" w14:textId="77777777" w:rsidR="00E31FAB" w:rsidRPr="001745E0" w:rsidRDefault="00E31FAB" w:rsidP="00AA3210">
            <w:pPr>
              <w:spacing w:before="60" w:after="60"/>
              <w:ind w:left="-34"/>
            </w:pPr>
            <w:r w:rsidRPr="001745E0">
              <w:t>SETTING II</w:t>
            </w:r>
          </w:p>
        </w:tc>
        <w:tc>
          <w:tcPr>
            <w:tcW w:w="990" w:type="dxa"/>
            <w:hideMark/>
          </w:tcPr>
          <w:p w14:paraId="56081B85" w14:textId="77777777" w:rsidR="00E31FAB" w:rsidRPr="001745E0" w:rsidRDefault="00E31FAB" w:rsidP="00AA3210">
            <w:pPr>
              <w:spacing w:before="60" w:after="60"/>
              <w:ind w:left="-34"/>
            </w:pPr>
            <w:r w:rsidRPr="001745E0">
              <w:t>SETTING III</w:t>
            </w:r>
          </w:p>
        </w:tc>
        <w:tc>
          <w:tcPr>
            <w:tcW w:w="990" w:type="dxa"/>
            <w:hideMark/>
          </w:tcPr>
          <w:p w14:paraId="1014B3DB" w14:textId="77777777" w:rsidR="00E31FAB" w:rsidRPr="001745E0" w:rsidRDefault="00E31FAB" w:rsidP="00AA3210">
            <w:pPr>
              <w:spacing w:before="60" w:after="60"/>
              <w:ind w:left="-34"/>
            </w:pPr>
            <w:r w:rsidRPr="001745E0">
              <w:t>SETTING IV</w:t>
            </w:r>
          </w:p>
        </w:tc>
        <w:tc>
          <w:tcPr>
            <w:tcW w:w="990" w:type="dxa"/>
            <w:hideMark/>
          </w:tcPr>
          <w:p w14:paraId="054499AD" w14:textId="77777777" w:rsidR="00E31FAB" w:rsidRPr="001745E0" w:rsidRDefault="00E31FAB" w:rsidP="00AA3210">
            <w:pPr>
              <w:spacing w:before="60" w:after="60"/>
              <w:ind w:left="-34"/>
            </w:pPr>
            <w:r w:rsidRPr="001745E0">
              <w:t>SETTING</w:t>
            </w:r>
            <w:r w:rsidRPr="001745E0">
              <w:br/>
              <w:t>V</w:t>
            </w:r>
          </w:p>
        </w:tc>
        <w:tc>
          <w:tcPr>
            <w:tcW w:w="990" w:type="dxa"/>
            <w:hideMark/>
          </w:tcPr>
          <w:p w14:paraId="33C82F68" w14:textId="77777777" w:rsidR="00E31FAB" w:rsidRPr="001745E0" w:rsidRDefault="00E31FAB" w:rsidP="00AA3210">
            <w:pPr>
              <w:spacing w:before="60" w:after="60"/>
              <w:ind w:left="-34"/>
            </w:pPr>
            <w:r w:rsidRPr="001745E0">
              <w:t>SETTING VI</w:t>
            </w:r>
          </w:p>
        </w:tc>
        <w:tc>
          <w:tcPr>
            <w:tcW w:w="990" w:type="dxa"/>
            <w:hideMark/>
          </w:tcPr>
          <w:p w14:paraId="21CF6D0B" w14:textId="77777777" w:rsidR="00E31FAB" w:rsidRPr="001745E0" w:rsidRDefault="00E31FAB" w:rsidP="00AA3210">
            <w:pPr>
              <w:spacing w:before="60" w:after="60"/>
              <w:ind w:left="-34"/>
            </w:pPr>
            <w:r w:rsidRPr="001745E0">
              <w:t>SETTING VII</w:t>
            </w:r>
          </w:p>
        </w:tc>
        <w:tc>
          <w:tcPr>
            <w:tcW w:w="990" w:type="dxa"/>
            <w:hideMark/>
          </w:tcPr>
          <w:p w14:paraId="2D9704AE" w14:textId="77777777" w:rsidR="00E31FAB" w:rsidRPr="001745E0" w:rsidRDefault="00E31FAB" w:rsidP="00511E18">
            <w:pPr>
              <w:spacing w:before="60" w:after="60"/>
              <w:ind w:left="-46"/>
            </w:pPr>
            <w:r w:rsidRPr="001745E0">
              <w:t>SETTING VIII</w:t>
            </w:r>
          </w:p>
        </w:tc>
      </w:tr>
      <w:tr w:rsidR="00511E18" w:rsidRPr="001745E0" w14:paraId="57DA468B" w14:textId="77777777" w:rsidTr="00511E18">
        <w:trPr>
          <w:cnfStyle w:val="000000100000" w:firstRow="0" w:lastRow="0" w:firstColumn="0" w:lastColumn="0" w:oddVBand="0" w:evenVBand="0" w:oddHBand="1" w:evenHBand="0" w:firstRowFirstColumn="0" w:firstRowLastColumn="0" w:lastRowFirstColumn="0" w:lastRowLastColumn="0"/>
          <w:trHeight w:val="593"/>
        </w:trPr>
        <w:tc>
          <w:tcPr>
            <w:tcW w:w="535" w:type="dxa"/>
          </w:tcPr>
          <w:p w14:paraId="0479C650" w14:textId="77777777" w:rsidR="00E31FAB" w:rsidRPr="001745E0" w:rsidRDefault="00E31FAB" w:rsidP="00E31FAB">
            <w:pPr>
              <w:spacing w:before="60" w:after="60"/>
              <w:ind w:left="-38"/>
            </w:pPr>
            <w:r w:rsidRPr="001745E0">
              <w:t>401</w:t>
            </w:r>
          </w:p>
        </w:tc>
        <w:tc>
          <w:tcPr>
            <w:tcW w:w="3150" w:type="dxa"/>
          </w:tcPr>
          <w:p w14:paraId="4EB9A13C" w14:textId="77777777" w:rsidR="00E31FAB" w:rsidRPr="001745E0" w:rsidRDefault="00E31FAB" w:rsidP="00E31FAB">
            <w:pPr>
              <w:spacing w:before="60" w:after="60"/>
              <w:ind w:left="-38"/>
            </w:pPr>
            <w:r w:rsidRPr="001745E0">
              <w:t>SPEECH OR LANGUAGE IMPAIRMENT</w:t>
            </w:r>
          </w:p>
        </w:tc>
        <w:tc>
          <w:tcPr>
            <w:tcW w:w="990" w:type="dxa"/>
            <w:hideMark/>
          </w:tcPr>
          <w:p w14:paraId="426B6126" w14:textId="77777777" w:rsidR="00E31FAB" w:rsidRPr="001745E0" w:rsidRDefault="00E31FAB" w:rsidP="00AA3210">
            <w:pPr>
              <w:spacing w:before="60" w:after="60"/>
              <w:ind w:left="-34"/>
              <w:jc w:val="center"/>
            </w:pPr>
            <w:r w:rsidRPr="001745E0">
              <w:t>0.0390</w:t>
            </w:r>
          </w:p>
        </w:tc>
        <w:tc>
          <w:tcPr>
            <w:tcW w:w="990" w:type="dxa"/>
            <w:hideMark/>
          </w:tcPr>
          <w:p w14:paraId="2C7ACD4A" w14:textId="77777777" w:rsidR="00E31FAB" w:rsidRPr="001745E0" w:rsidRDefault="00E31FAB" w:rsidP="00AA3210">
            <w:pPr>
              <w:spacing w:before="60" w:after="60"/>
              <w:ind w:left="-34"/>
              <w:jc w:val="center"/>
            </w:pPr>
            <w:r w:rsidRPr="001745E0">
              <w:t>0.2980</w:t>
            </w:r>
          </w:p>
        </w:tc>
        <w:tc>
          <w:tcPr>
            <w:tcW w:w="990" w:type="dxa"/>
            <w:hideMark/>
          </w:tcPr>
          <w:p w14:paraId="7E226B97" w14:textId="77777777" w:rsidR="00E31FAB" w:rsidRPr="001745E0" w:rsidRDefault="00E31FAB" w:rsidP="00AA3210">
            <w:pPr>
              <w:spacing w:before="60" w:after="60"/>
              <w:ind w:left="-34"/>
              <w:jc w:val="center"/>
            </w:pPr>
            <w:r w:rsidRPr="001745E0">
              <w:t>0.3440</w:t>
            </w:r>
          </w:p>
        </w:tc>
        <w:tc>
          <w:tcPr>
            <w:tcW w:w="990" w:type="dxa"/>
            <w:hideMark/>
          </w:tcPr>
          <w:p w14:paraId="09868CA6" w14:textId="77777777" w:rsidR="00E31FAB" w:rsidRPr="001745E0" w:rsidRDefault="00E31FAB" w:rsidP="00AA3210">
            <w:pPr>
              <w:spacing w:before="60" w:after="60"/>
              <w:ind w:left="-34"/>
              <w:jc w:val="center"/>
            </w:pPr>
            <w:r w:rsidRPr="001745E0">
              <w:t>0.1300</w:t>
            </w:r>
          </w:p>
        </w:tc>
        <w:tc>
          <w:tcPr>
            <w:tcW w:w="990" w:type="dxa"/>
            <w:hideMark/>
          </w:tcPr>
          <w:p w14:paraId="09CE7B79" w14:textId="77777777" w:rsidR="00E31FAB" w:rsidRPr="001745E0" w:rsidRDefault="00E31FAB" w:rsidP="00AA3210">
            <w:pPr>
              <w:spacing w:before="60" w:after="60"/>
              <w:ind w:left="-34"/>
              <w:jc w:val="center"/>
            </w:pPr>
            <w:r w:rsidRPr="001745E0">
              <w:t>0.1900</w:t>
            </w:r>
          </w:p>
        </w:tc>
        <w:tc>
          <w:tcPr>
            <w:tcW w:w="990" w:type="dxa"/>
            <w:hideMark/>
          </w:tcPr>
          <w:p w14:paraId="51638927" w14:textId="77777777" w:rsidR="00E31FAB" w:rsidRPr="001745E0" w:rsidRDefault="00E31FAB" w:rsidP="00AA3210">
            <w:pPr>
              <w:spacing w:before="60" w:after="60"/>
              <w:ind w:left="-34"/>
              <w:jc w:val="center"/>
            </w:pPr>
            <w:r w:rsidRPr="001745E0">
              <w:t>0.1250</w:t>
            </w:r>
          </w:p>
        </w:tc>
        <w:tc>
          <w:tcPr>
            <w:tcW w:w="990" w:type="dxa"/>
            <w:hideMark/>
          </w:tcPr>
          <w:p w14:paraId="72917FD9" w14:textId="77777777" w:rsidR="00E31FAB" w:rsidRPr="001745E0" w:rsidRDefault="00E31FAB" w:rsidP="00AA3210">
            <w:pPr>
              <w:spacing w:before="60" w:after="60"/>
              <w:ind w:left="-34"/>
              <w:jc w:val="center"/>
            </w:pPr>
            <w:r w:rsidRPr="001745E0">
              <w:t>0.0710</w:t>
            </w:r>
          </w:p>
        </w:tc>
        <w:tc>
          <w:tcPr>
            <w:tcW w:w="990" w:type="dxa"/>
            <w:hideMark/>
          </w:tcPr>
          <w:p w14:paraId="52E28A23" w14:textId="77777777" w:rsidR="00E31FAB" w:rsidRPr="001745E0" w:rsidRDefault="00E31FAB" w:rsidP="00AA3210">
            <w:pPr>
              <w:spacing w:before="60" w:after="60"/>
              <w:ind w:left="-34"/>
              <w:jc w:val="center"/>
            </w:pPr>
            <w:r w:rsidRPr="001745E0">
              <w:t>0.1820</w:t>
            </w:r>
          </w:p>
        </w:tc>
      </w:tr>
      <w:tr w:rsidR="00511E18" w:rsidRPr="001745E0" w14:paraId="3B8A5B2C" w14:textId="77777777" w:rsidTr="00511E18">
        <w:trPr>
          <w:cnfStyle w:val="000000010000" w:firstRow="0" w:lastRow="0" w:firstColumn="0" w:lastColumn="0" w:oddVBand="0" w:evenVBand="0" w:oddHBand="0" w:evenHBand="1" w:firstRowFirstColumn="0" w:firstRowLastColumn="0" w:lastRowFirstColumn="0" w:lastRowLastColumn="0"/>
          <w:trHeight w:val="319"/>
        </w:trPr>
        <w:tc>
          <w:tcPr>
            <w:tcW w:w="535" w:type="dxa"/>
          </w:tcPr>
          <w:p w14:paraId="6BD11690" w14:textId="77777777" w:rsidR="00E31FAB" w:rsidRPr="001745E0" w:rsidRDefault="00E31FAB" w:rsidP="00E31FAB">
            <w:pPr>
              <w:spacing w:before="60" w:after="60"/>
              <w:ind w:left="-38"/>
            </w:pPr>
            <w:r w:rsidRPr="001745E0">
              <w:t>402</w:t>
            </w:r>
          </w:p>
        </w:tc>
        <w:tc>
          <w:tcPr>
            <w:tcW w:w="3150" w:type="dxa"/>
          </w:tcPr>
          <w:p w14:paraId="4F5B8ADF" w14:textId="77777777" w:rsidR="00E31FAB" w:rsidRPr="001745E0" w:rsidRDefault="00E31FAB" w:rsidP="00E31FAB">
            <w:pPr>
              <w:spacing w:before="60" w:after="60"/>
              <w:ind w:left="-38"/>
            </w:pPr>
            <w:r w:rsidRPr="001745E0">
              <w:t>MILDLY MODERATE-DCD</w:t>
            </w:r>
          </w:p>
        </w:tc>
        <w:tc>
          <w:tcPr>
            <w:tcW w:w="990" w:type="dxa"/>
            <w:hideMark/>
          </w:tcPr>
          <w:p w14:paraId="05EB70E5" w14:textId="77777777" w:rsidR="00E31FAB" w:rsidRPr="001745E0" w:rsidRDefault="00E31FAB" w:rsidP="00AA3210">
            <w:pPr>
              <w:spacing w:before="60" w:after="60"/>
              <w:ind w:left="-34"/>
              <w:jc w:val="center"/>
            </w:pPr>
            <w:r w:rsidRPr="001745E0">
              <w:t>0.2260</w:t>
            </w:r>
          </w:p>
        </w:tc>
        <w:tc>
          <w:tcPr>
            <w:tcW w:w="990" w:type="dxa"/>
            <w:hideMark/>
          </w:tcPr>
          <w:p w14:paraId="3456B98A" w14:textId="77777777" w:rsidR="00E31FAB" w:rsidRPr="001745E0" w:rsidRDefault="00E31FAB" w:rsidP="00AA3210">
            <w:pPr>
              <w:spacing w:before="60" w:after="60"/>
              <w:ind w:left="-34"/>
              <w:jc w:val="center"/>
            </w:pPr>
            <w:r w:rsidRPr="001745E0">
              <w:t>0.4680</w:t>
            </w:r>
          </w:p>
        </w:tc>
        <w:tc>
          <w:tcPr>
            <w:tcW w:w="990" w:type="dxa"/>
            <w:hideMark/>
          </w:tcPr>
          <w:p w14:paraId="7E18AD62" w14:textId="77777777" w:rsidR="00E31FAB" w:rsidRPr="001745E0" w:rsidRDefault="00E31FAB" w:rsidP="00AA3210">
            <w:pPr>
              <w:spacing w:before="60" w:after="60"/>
              <w:ind w:left="-34"/>
              <w:jc w:val="center"/>
            </w:pPr>
            <w:r w:rsidRPr="001745E0">
              <w:t>0.8680</w:t>
            </w:r>
          </w:p>
        </w:tc>
        <w:tc>
          <w:tcPr>
            <w:tcW w:w="990" w:type="dxa"/>
            <w:hideMark/>
          </w:tcPr>
          <w:p w14:paraId="13C08908" w14:textId="77777777" w:rsidR="00E31FAB" w:rsidRPr="001745E0" w:rsidRDefault="00E31FAB" w:rsidP="00AA3210">
            <w:pPr>
              <w:spacing w:before="60" w:after="60"/>
              <w:ind w:left="-34"/>
              <w:jc w:val="center"/>
            </w:pPr>
            <w:r w:rsidRPr="001745E0">
              <w:t>1.0880</w:t>
            </w:r>
          </w:p>
        </w:tc>
        <w:tc>
          <w:tcPr>
            <w:tcW w:w="990" w:type="dxa"/>
            <w:hideMark/>
          </w:tcPr>
          <w:p w14:paraId="5C55B845" w14:textId="77777777" w:rsidR="00E31FAB" w:rsidRPr="001745E0" w:rsidRDefault="00E31FAB" w:rsidP="00AA3210">
            <w:pPr>
              <w:spacing w:before="60" w:after="60"/>
              <w:ind w:left="-34"/>
              <w:jc w:val="center"/>
            </w:pPr>
            <w:r w:rsidRPr="001745E0">
              <w:t>0.8910</w:t>
            </w:r>
          </w:p>
        </w:tc>
        <w:tc>
          <w:tcPr>
            <w:tcW w:w="990" w:type="dxa"/>
            <w:hideMark/>
          </w:tcPr>
          <w:p w14:paraId="5F8B0A07" w14:textId="77777777" w:rsidR="00E31FAB" w:rsidRPr="001745E0" w:rsidRDefault="00E31FAB" w:rsidP="00AA3210">
            <w:pPr>
              <w:spacing w:before="60" w:after="60"/>
              <w:ind w:left="-34"/>
              <w:jc w:val="center"/>
            </w:pPr>
            <w:r w:rsidRPr="001745E0">
              <w:t>0.5000</w:t>
            </w:r>
          </w:p>
        </w:tc>
        <w:tc>
          <w:tcPr>
            <w:tcW w:w="990" w:type="dxa"/>
            <w:hideMark/>
          </w:tcPr>
          <w:p w14:paraId="740C9C03" w14:textId="77777777" w:rsidR="00E31FAB" w:rsidRPr="001745E0" w:rsidRDefault="00E31FAB" w:rsidP="00AA3210">
            <w:pPr>
              <w:spacing w:before="60" w:after="60"/>
              <w:ind w:left="-34"/>
              <w:jc w:val="center"/>
            </w:pPr>
            <w:r w:rsidRPr="001745E0">
              <w:t>0.8390</w:t>
            </w:r>
          </w:p>
        </w:tc>
        <w:tc>
          <w:tcPr>
            <w:tcW w:w="990" w:type="dxa"/>
            <w:hideMark/>
          </w:tcPr>
          <w:p w14:paraId="22CA0764" w14:textId="77777777" w:rsidR="00E31FAB" w:rsidRPr="001745E0" w:rsidRDefault="00E31FAB" w:rsidP="00AA3210">
            <w:pPr>
              <w:spacing w:before="60" w:after="60"/>
              <w:ind w:left="-34"/>
              <w:jc w:val="center"/>
            </w:pPr>
            <w:r w:rsidRPr="001745E0">
              <w:t>0.4340</w:t>
            </w:r>
          </w:p>
        </w:tc>
      </w:tr>
      <w:tr w:rsidR="00511E18" w:rsidRPr="001745E0" w14:paraId="6CE7E48E" w14:textId="77777777" w:rsidTr="00511E18">
        <w:trPr>
          <w:cnfStyle w:val="000000100000" w:firstRow="0" w:lastRow="0" w:firstColumn="0" w:lastColumn="0" w:oddVBand="0" w:evenVBand="0" w:oddHBand="1" w:evenHBand="0" w:firstRowFirstColumn="0" w:firstRowLastColumn="0" w:lastRowFirstColumn="0" w:lastRowLastColumn="0"/>
          <w:trHeight w:val="300"/>
        </w:trPr>
        <w:tc>
          <w:tcPr>
            <w:tcW w:w="535" w:type="dxa"/>
          </w:tcPr>
          <w:p w14:paraId="45D88AA4" w14:textId="77777777" w:rsidR="00E31FAB" w:rsidRPr="001745E0" w:rsidRDefault="00E31FAB" w:rsidP="00E31FAB">
            <w:pPr>
              <w:spacing w:before="60" w:after="60"/>
              <w:ind w:left="-38"/>
            </w:pPr>
            <w:r w:rsidRPr="001745E0">
              <w:t>403</w:t>
            </w:r>
          </w:p>
        </w:tc>
        <w:tc>
          <w:tcPr>
            <w:tcW w:w="3150" w:type="dxa"/>
          </w:tcPr>
          <w:p w14:paraId="1F4B7F63" w14:textId="77777777" w:rsidR="00E31FAB" w:rsidRPr="001745E0" w:rsidRDefault="00E31FAB" w:rsidP="00845426">
            <w:pPr>
              <w:spacing w:before="60" w:after="60"/>
              <w:ind w:left="-38"/>
            </w:pPr>
            <w:r w:rsidRPr="001745E0">
              <w:t>SEVERE-P</w:t>
            </w:r>
            <w:r w:rsidR="00845426">
              <w:t>RO</w:t>
            </w:r>
            <w:r w:rsidRPr="001745E0">
              <w:t>FOUND-DCD</w:t>
            </w:r>
          </w:p>
        </w:tc>
        <w:tc>
          <w:tcPr>
            <w:tcW w:w="990" w:type="dxa"/>
            <w:hideMark/>
          </w:tcPr>
          <w:p w14:paraId="2E62A938" w14:textId="77777777" w:rsidR="00E31FAB" w:rsidRPr="001745E0" w:rsidRDefault="00E31FAB" w:rsidP="00AA3210">
            <w:pPr>
              <w:spacing w:before="60" w:after="60"/>
              <w:ind w:left="-34"/>
              <w:jc w:val="center"/>
            </w:pPr>
            <w:r w:rsidRPr="001745E0">
              <w:t>0.1720</w:t>
            </w:r>
          </w:p>
        </w:tc>
        <w:tc>
          <w:tcPr>
            <w:tcW w:w="990" w:type="dxa"/>
            <w:hideMark/>
          </w:tcPr>
          <w:p w14:paraId="1A02A249" w14:textId="77777777" w:rsidR="00E31FAB" w:rsidRPr="001745E0" w:rsidRDefault="00E31FAB" w:rsidP="00AA3210">
            <w:pPr>
              <w:spacing w:before="60" w:after="60"/>
              <w:ind w:left="-34"/>
              <w:jc w:val="center"/>
            </w:pPr>
            <w:r w:rsidRPr="001745E0">
              <w:t>0.8820</w:t>
            </w:r>
          </w:p>
        </w:tc>
        <w:tc>
          <w:tcPr>
            <w:tcW w:w="990" w:type="dxa"/>
            <w:hideMark/>
          </w:tcPr>
          <w:p w14:paraId="7218954C" w14:textId="77777777" w:rsidR="00E31FAB" w:rsidRPr="001745E0" w:rsidRDefault="00E31FAB" w:rsidP="00AA3210">
            <w:pPr>
              <w:spacing w:before="60" w:after="60"/>
              <w:ind w:left="-34"/>
              <w:jc w:val="center"/>
            </w:pPr>
            <w:r w:rsidRPr="001745E0">
              <w:t>0.9430</w:t>
            </w:r>
          </w:p>
        </w:tc>
        <w:tc>
          <w:tcPr>
            <w:tcW w:w="990" w:type="dxa"/>
            <w:hideMark/>
          </w:tcPr>
          <w:p w14:paraId="34246917" w14:textId="77777777" w:rsidR="00E31FAB" w:rsidRPr="001745E0" w:rsidRDefault="00E31FAB" w:rsidP="00AA3210">
            <w:pPr>
              <w:spacing w:before="60" w:after="60"/>
              <w:ind w:left="-34"/>
              <w:jc w:val="center"/>
            </w:pPr>
            <w:r w:rsidRPr="001745E0">
              <w:t>1.0610</w:t>
            </w:r>
          </w:p>
        </w:tc>
        <w:tc>
          <w:tcPr>
            <w:tcW w:w="990" w:type="dxa"/>
            <w:hideMark/>
          </w:tcPr>
          <w:p w14:paraId="73E06128" w14:textId="77777777" w:rsidR="00E31FAB" w:rsidRPr="001745E0" w:rsidRDefault="00E31FAB" w:rsidP="00AA3210">
            <w:pPr>
              <w:spacing w:before="60" w:after="60"/>
              <w:ind w:left="-34"/>
              <w:jc w:val="center"/>
            </w:pPr>
            <w:r w:rsidRPr="001745E0">
              <w:t>0.8520</w:t>
            </w:r>
          </w:p>
        </w:tc>
        <w:tc>
          <w:tcPr>
            <w:tcW w:w="990" w:type="dxa"/>
            <w:hideMark/>
          </w:tcPr>
          <w:p w14:paraId="01FC3884" w14:textId="77777777" w:rsidR="00E31FAB" w:rsidRPr="001745E0" w:rsidRDefault="00E31FAB" w:rsidP="00AA3210">
            <w:pPr>
              <w:spacing w:before="60" w:after="60"/>
              <w:ind w:left="-34"/>
              <w:jc w:val="center"/>
            </w:pPr>
            <w:r w:rsidRPr="001745E0">
              <w:t>0.7200</w:t>
            </w:r>
          </w:p>
        </w:tc>
        <w:tc>
          <w:tcPr>
            <w:tcW w:w="990" w:type="dxa"/>
            <w:hideMark/>
          </w:tcPr>
          <w:p w14:paraId="4410D288" w14:textId="77777777" w:rsidR="00E31FAB" w:rsidRPr="001745E0" w:rsidRDefault="00E31FAB" w:rsidP="00AA3210">
            <w:pPr>
              <w:spacing w:before="60" w:after="60"/>
              <w:ind w:left="-34"/>
              <w:jc w:val="center"/>
            </w:pPr>
            <w:r w:rsidRPr="001745E0">
              <w:t>0.4110</w:t>
            </w:r>
          </w:p>
        </w:tc>
        <w:tc>
          <w:tcPr>
            <w:tcW w:w="990" w:type="dxa"/>
            <w:hideMark/>
          </w:tcPr>
          <w:p w14:paraId="54697630" w14:textId="77777777" w:rsidR="00E31FAB" w:rsidRPr="001745E0" w:rsidRDefault="00E31FAB" w:rsidP="00AA3210">
            <w:pPr>
              <w:spacing w:before="60" w:after="60"/>
              <w:ind w:left="-34"/>
              <w:jc w:val="center"/>
            </w:pPr>
            <w:r w:rsidRPr="001745E0">
              <w:t>0.2990</w:t>
            </w:r>
          </w:p>
        </w:tc>
      </w:tr>
      <w:tr w:rsidR="00511E18" w:rsidRPr="001745E0" w14:paraId="36832941" w14:textId="77777777" w:rsidTr="00511E18">
        <w:trPr>
          <w:cnfStyle w:val="000000010000" w:firstRow="0" w:lastRow="0" w:firstColumn="0" w:lastColumn="0" w:oddVBand="0" w:evenVBand="0" w:oddHBand="0" w:evenHBand="1" w:firstRowFirstColumn="0" w:firstRowLastColumn="0" w:lastRowFirstColumn="0" w:lastRowLastColumn="0"/>
          <w:trHeight w:val="300"/>
        </w:trPr>
        <w:tc>
          <w:tcPr>
            <w:tcW w:w="535" w:type="dxa"/>
          </w:tcPr>
          <w:p w14:paraId="1738029D" w14:textId="77777777" w:rsidR="00E31FAB" w:rsidRPr="001745E0" w:rsidRDefault="00E31FAB" w:rsidP="00E31FAB">
            <w:pPr>
              <w:spacing w:before="60" w:after="60"/>
              <w:ind w:left="-38"/>
            </w:pPr>
            <w:r w:rsidRPr="001745E0">
              <w:t>404</w:t>
            </w:r>
          </w:p>
        </w:tc>
        <w:tc>
          <w:tcPr>
            <w:tcW w:w="3150" w:type="dxa"/>
          </w:tcPr>
          <w:p w14:paraId="5AC91195" w14:textId="77777777" w:rsidR="00E31FAB" w:rsidRPr="001745E0" w:rsidRDefault="00E31FAB" w:rsidP="00E31FAB">
            <w:pPr>
              <w:spacing w:before="60" w:after="60"/>
              <w:ind w:left="-38"/>
            </w:pPr>
            <w:r w:rsidRPr="001745E0">
              <w:t>PHYSICALLY IMPAIRED</w:t>
            </w:r>
          </w:p>
        </w:tc>
        <w:tc>
          <w:tcPr>
            <w:tcW w:w="990" w:type="dxa"/>
            <w:hideMark/>
          </w:tcPr>
          <w:p w14:paraId="6EB46515" w14:textId="77777777" w:rsidR="00E31FAB" w:rsidRPr="001745E0" w:rsidRDefault="00E31FAB" w:rsidP="00AA3210">
            <w:pPr>
              <w:spacing w:before="60" w:after="60"/>
              <w:ind w:left="-34"/>
              <w:jc w:val="center"/>
            </w:pPr>
            <w:r w:rsidRPr="001745E0">
              <w:t>0.1510</w:t>
            </w:r>
          </w:p>
        </w:tc>
        <w:tc>
          <w:tcPr>
            <w:tcW w:w="990" w:type="dxa"/>
            <w:hideMark/>
          </w:tcPr>
          <w:p w14:paraId="1996BC4F" w14:textId="77777777" w:rsidR="00E31FAB" w:rsidRPr="001745E0" w:rsidRDefault="00E31FAB" w:rsidP="00AA3210">
            <w:pPr>
              <w:spacing w:before="60" w:after="60"/>
              <w:ind w:left="-34"/>
              <w:jc w:val="center"/>
            </w:pPr>
            <w:r w:rsidRPr="001745E0">
              <w:t>0.4510</w:t>
            </w:r>
          </w:p>
        </w:tc>
        <w:tc>
          <w:tcPr>
            <w:tcW w:w="990" w:type="dxa"/>
            <w:hideMark/>
          </w:tcPr>
          <w:p w14:paraId="46C2E8E8" w14:textId="77777777" w:rsidR="00E31FAB" w:rsidRPr="001745E0" w:rsidRDefault="00E31FAB" w:rsidP="00AA3210">
            <w:pPr>
              <w:spacing w:before="60" w:after="60"/>
              <w:ind w:left="-34"/>
              <w:jc w:val="center"/>
            </w:pPr>
            <w:r w:rsidRPr="001745E0">
              <w:t>0.9150</w:t>
            </w:r>
          </w:p>
        </w:tc>
        <w:tc>
          <w:tcPr>
            <w:tcW w:w="990" w:type="dxa"/>
            <w:hideMark/>
          </w:tcPr>
          <w:p w14:paraId="3E6DEDB0" w14:textId="77777777" w:rsidR="00E31FAB" w:rsidRPr="001745E0" w:rsidRDefault="00E31FAB" w:rsidP="00AA3210">
            <w:pPr>
              <w:spacing w:before="60" w:after="60"/>
              <w:ind w:left="-34"/>
              <w:jc w:val="center"/>
            </w:pPr>
            <w:r w:rsidRPr="001745E0">
              <w:t>1.1580</w:t>
            </w:r>
          </w:p>
        </w:tc>
        <w:tc>
          <w:tcPr>
            <w:tcW w:w="990" w:type="dxa"/>
            <w:hideMark/>
          </w:tcPr>
          <w:p w14:paraId="1A4457E0" w14:textId="77777777" w:rsidR="00E31FAB" w:rsidRPr="001745E0" w:rsidRDefault="00E31FAB" w:rsidP="00AA3210">
            <w:pPr>
              <w:spacing w:before="60" w:after="60"/>
              <w:ind w:left="-34"/>
              <w:jc w:val="center"/>
            </w:pPr>
            <w:r w:rsidRPr="001745E0">
              <w:t>0.2450</w:t>
            </w:r>
          </w:p>
        </w:tc>
        <w:tc>
          <w:tcPr>
            <w:tcW w:w="990" w:type="dxa"/>
            <w:hideMark/>
          </w:tcPr>
          <w:p w14:paraId="4AEBE52C" w14:textId="77777777" w:rsidR="00E31FAB" w:rsidRPr="001745E0" w:rsidRDefault="00E31FAB" w:rsidP="00AA3210">
            <w:pPr>
              <w:spacing w:before="60" w:after="60"/>
              <w:ind w:left="-34"/>
              <w:jc w:val="center"/>
            </w:pPr>
            <w:r w:rsidRPr="001745E0">
              <w:t>0.6780</w:t>
            </w:r>
          </w:p>
        </w:tc>
        <w:tc>
          <w:tcPr>
            <w:tcW w:w="990" w:type="dxa"/>
            <w:hideMark/>
          </w:tcPr>
          <w:p w14:paraId="56C396AF" w14:textId="77777777" w:rsidR="00E31FAB" w:rsidRPr="001745E0" w:rsidRDefault="00E31FAB" w:rsidP="00AA3210">
            <w:pPr>
              <w:spacing w:before="60" w:after="60"/>
              <w:ind w:left="-34"/>
              <w:jc w:val="center"/>
            </w:pPr>
            <w:r w:rsidRPr="001745E0">
              <w:t>0.7670</w:t>
            </w:r>
          </w:p>
        </w:tc>
        <w:tc>
          <w:tcPr>
            <w:tcW w:w="990" w:type="dxa"/>
            <w:hideMark/>
          </w:tcPr>
          <w:p w14:paraId="28789F47" w14:textId="77777777" w:rsidR="00E31FAB" w:rsidRPr="001745E0" w:rsidRDefault="00E31FAB" w:rsidP="00AA3210">
            <w:pPr>
              <w:spacing w:before="60" w:after="60"/>
              <w:ind w:left="-34"/>
              <w:jc w:val="center"/>
            </w:pPr>
            <w:r w:rsidRPr="001745E0">
              <w:t>0.9300</w:t>
            </w:r>
          </w:p>
        </w:tc>
      </w:tr>
      <w:tr w:rsidR="00511E18" w:rsidRPr="001745E0" w14:paraId="499C7B97" w14:textId="77777777" w:rsidTr="00511E18">
        <w:trPr>
          <w:cnfStyle w:val="000000100000" w:firstRow="0" w:lastRow="0" w:firstColumn="0" w:lastColumn="0" w:oddVBand="0" w:evenVBand="0" w:oddHBand="1" w:evenHBand="0" w:firstRowFirstColumn="0" w:firstRowLastColumn="0" w:lastRowFirstColumn="0" w:lastRowLastColumn="0"/>
          <w:trHeight w:val="319"/>
        </w:trPr>
        <w:tc>
          <w:tcPr>
            <w:tcW w:w="535" w:type="dxa"/>
          </w:tcPr>
          <w:p w14:paraId="60D280DF" w14:textId="77777777" w:rsidR="00E31FAB" w:rsidRPr="001745E0" w:rsidRDefault="00E31FAB" w:rsidP="00E31FAB">
            <w:pPr>
              <w:spacing w:before="60" w:after="60"/>
              <w:ind w:left="-38"/>
            </w:pPr>
            <w:r w:rsidRPr="001745E0">
              <w:t>405</w:t>
            </w:r>
          </w:p>
        </w:tc>
        <w:tc>
          <w:tcPr>
            <w:tcW w:w="3150" w:type="dxa"/>
          </w:tcPr>
          <w:p w14:paraId="06A6D830" w14:textId="77777777" w:rsidR="00E31FAB" w:rsidRPr="001745E0" w:rsidRDefault="00E31FAB" w:rsidP="00E31FAB">
            <w:pPr>
              <w:spacing w:before="60" w:after="60"/>
              <w:ind w:left="-38"/>
            </w:pPr>
            <w:r w:rsidRPr="001745E0">
              <w:t>DEAF OR HARD OF HEARING</w:t>
            </w:r>
          </w:p>
        </w:tc>
        <w:tc>
          <w:tcPr>
            <w:tcW w:w="990" w:type="dxa"/>
            <w:hideMark/>
          </w:tcPr>
          <w:p w14:paraId="49C04F80" w14:textId="77777777" w:rsidR="00E31FAB" w:rsidRPr="001745E0" w:rsidRDefault="00E31FAB" w:rsidP="00AA3210">
            <w:pPr>
              <w:spacing w:before="60" w:after="60"/>
              <w:ind w:left="-34"/>
              <w:jc w:val="center"/>
            </w:pPr>
            <w:r w:rsidRPr="001745E0">
              <w:t>0.1220</w:t>
            </w:r>
          </w:p>
        </w:tc>
        <w:tc>
          <w:tcPr>
            <w:tcW w:w="990" w:type="dxa"/>
            <w:hideMark/>
          </w:tcPr>
          <w:p w14:paraId="71B6C5D4" w14:textId="77777777" w:rsidR="00E31FAB" w:rsidRPr="001745E0" w:rsidRDefault="00E31FAB" w:rsidP="00AA3210">
            <w:pPr>
              <w:spacing w:before="60" w:after="60"/>
              <w:ind w:left="-34"/>
              <w:jc w:val="center"/>
            </w:pPr>
            <w:r w:rsidRPr="001745E0">
              <w:t>0.4530</w:t>
            </w:r>
          </w:p>
        </w:tc>
        <w:tc>
          <w:tcPr>
            <w:tcW w:w="990" w:type="dxa"/>
            <w:hideMark/>
          </w:tcPr>
          <w:p w14:paraId="0BD0382D" w14:textId="77777777" w:rsidR="00E31FAB" w:rsidRPr="001745E0" w:rsidRDefault="00E31FAB" w:rsidP="00AA3210">
            <w:pPr>
              <w:spacing w:before="60" w:after="60"/>
              <w:ind w:left="-34"/>
              <w:jc w:val="center"/>
            </w:pPr>
            <w:r w:rsidRPr="001745E0">
              <w:t>0.9940</w:t>
            </w:r>
          </w:p>
        </w:tc>
        <w:tc>
          <w:tcPr>
            <w:tcW w:w="990" w:type="dxa"/>
            <w:hideMark/>
          </w:tcPr>
          <w:p w14:paraId="4E07C806" w14:textId="77777777" w:rsidR="00E31FAB" w:rsidRPr="001745E0" w:rsidRDefault="00E31FAB" w:rsidP="00AA3210">
            <w:pPr>
              <w:spacing w:before="60" w:after="60"/>
              <w:ind w:left="-34"/>
              <w:jc w:val="center"/>
            </w:pPr>
            <w:r w:rsidRPr="001745E0">
              <w:t>1.0890</w:t>
            </w:r>
          </w:p>
        </w:tc>
        <w:tc>
          <w:tcPr>
            <w:tcW w:w="990" w:type="dxa"/>
            <w:hideMark/>
          </w:tcPr>
          <w:p w14:paraId="1B91786E" w14:textId="77777777" w:rsidR="00E31FAB" w:rsidRPr="001745E0" w:rsidRDefault="00E31FAB" w:rsidP="00AA3210">
            <w:pPr>
              <w:spacing w:before="60" w:after="60"/>
              <w:ind w:left="-34"/>
              <w:jc w:val="center"/>
            </w:pPr>
            <w:r w:rsidRPr="001745E0">
              <w:t>0.6120</w:t>
            </w:r>
          </w:p>
        </w:tc>
        <w:tc>
          <w:tcPr>
            <w:tcW w:w="990" w:type="dxa"/>
            <w:hideMark/>
          </w:tcPr>
          <w:p w14:paraId="36C5DD2B" w14:textId="77777777" w:rsidR="00E31FAB" w:rsidRPr="001745E0" w:rsidRDefault="00E31FAB" w:rsidP="00AA3210">
            <w:pPr>
              <w:spacing w:before="60" w:after="60"/>
              <w:ind w:left="-34"/>
              <w:jc w:val="center"/>
            </w:pPr>
            <w:r w:rsidRPr="001745E0">
              <w:t>0.9580</w:t>
            </w:r>
          </w:p>
        </w:tc>
        <w:tc>
          <w:tcPr>
            <w:tcW w:w="990" w:type="dxa"/>
            <w:hideMark/>
          </w:tcPr>
          <w:p w14:paraId="5FC27FDA" w14:textId="77777777" w:rsidR="00E31FAB" w:rsidRPr="001745E0" w:rsidRDefault="00E31FAB" w:rsidP="00AA3210">
            <w:pPr>
              <w:spacing w:before="60" w:after="60"/>
              <w:ind w:left="-34"/>
              <w:jc w:val="center"/>
            </w:pPr>
            <w:r w:rsidRPr="001745E0">
              <w:t>0.0930</w:t>
            </w:r>
          </w:p>
        </w:tc>
        <w:tc>
          <w:tcPr>
            <w:tcW w:w="990" w:type="dxa"/>
            <w:hideMark/>
          </w:tcPr>
          <w:p w14:paraId="43AFC81B" w14:textId="77777777" w:rsidR="00E31FAB" w:rsidRPr="001745E0" w:rsidRDefault="00E31FAB" w:rsidP="00AA3210">
            <w:pPr>
              <w:spacing w:before="60" w:after="60"/>
              <w:ind w:left="-34"/>
              <w:jc w:val="center"/>
            </w:pPr>
            <w:r w:rsidRPr="001745E0">
              <w:t>0.2180</w:t>
            </w:r>
          </w:p>
        </w:tc>
      </w:tr>
      <w:tr w:rsidR="00511E18" w:rsidRPr="001745E0" w14:paraId="6E85F6EB" w14:textId="77777777" w:rsidTr="00511E18">
        <w:trPr>
          <w:cnfStyle w:val="000000010000" w:firstRow="0" w:lastRow="0" w:firstColumn="0" w:lastColumn="0" w:oddVBand="0" w:evenVBand="0" w:oddHBand="0" w:evenHBand="1" w:firstRowFirstColumn="0" w:firstRowLastColumn="0" w:lastRowFirstColumn="0" w:lastRowLastColumn="0"/>
          <w:trHeight w:val="300"/>
        </w:trPr>
        <w:tc>
          <w:tcPr>
            <w:tcW w:w="535" w:type="dxa"/>
          </w:tcPr>
          <w:p w14:paraId="133E2A26" w14:textId="77777777" w:rsidR="00E31FAB" w:rsidRPr="001745E0" w:rsidRDefault="00E31FAB" w:rsidP="00E31FAB">
            <w:pPr>
              <w:spacing w:before="60" w:after="60"/>
              <w:ind w:left="-38"/>
            </w:pPr>
            <w:r w:rsidRPr="001745E0">
              <w:t>406</w:t>
            </w:r>
          </w:p>
        </w:tc>
        <w:tc>
          <w:tcPr>
            <w:tcW w:w="3150" w:type="dxa"/>
          </w:tcPr>
          <w:p w14:paraId="52E3A28F" w14:textId="77777777" w:rsidR="00E31FAB" w:rsidRPr="001745E0" w:rsidRDefault="00E31FAB" w:rsidP="00E31FAB">
            <w:pPr>
              <w:spacing w:before="60" w:after="60"/>
              <w:ind w:left="-38"/>
            </w:pPr>
            <w:r w:rsidRPr="001745E0">
              <w:t>VISUALLY IMPAIRED</w:t>
            </w:r>
          </w:p>
        </w:tc>
        <w:tc>
          <w:tcPr>
            <w:tcW w:w="990" w:type="dxa"/>
            <w:hideMark/>
          </w:tcPr>
          <w:p w14:paraId="01E02EFB" w14:textId="77777777" w:rsidR="00E31FAB" w:rsidRPr="001745E0" w:rsidRDefault="00E31FAB" w:rsidP="00AA3210">
            <w:pPr>
              <w:spacing w:before="60" w:after="60"/>
              <w:ind w:left="-34"/>
              <w:jc w:val="center"/>
            </w:pPr>
            <w:r w:rsidRPr="001745E0">
              <w:t>0.1260</w:t>
            </w:r>
          </w:p>
        </w:tc>
        <w:tc>
          <w:tcPr>
            <w:tcW w:w="990" w:type="dxa"/>
            <w:hideMark/>
          </w:tcPr>
          <w:p w14:paraId="1076FD4C" w14:textId="77777777" w:rsidR="00E31FAB" w:rsidRPr="001745E0" w:rsidRDefault="00E31FAB" w:rsidP="00AA3210">
            <w:pPr>
              <w:spacing w:before="60" w:after="60"/>
              <w:ind w:left="-34"/>
              <w:jc w:val="center"/>
            </w:pPr>
            <w:r w:rsidRPr="001745E0">
              <w:t>0.4700</w:t>
            </w:r>
          </w:p>
        </w:tc>
        <w:tc>
          <w:tcPr>
            <w:tcW w:w="990" w:type="dxa"/>
            <w:hideMark/>
          </w:tcPr>
          <w:p w14:paraId="3FE0033C" w14:textId="77777777" w:rsidR="00E31FAB" w:rsidRPr="001745E0" w:rsidRDefault="00E31FAB" w:rsidP="00AA3210">
            <w:pPr>
              <w:spacing w:before="60" w:after="60"/>
              <w:ind w:left="-34"/>
              <w:jc w:val="center"/>
            </w:pPr>
            <w:r w:rsidRPr="001745E0">
              <w:t>0.9170</w:t>
            </w:r>
          </w:p>
        </w:tc>
        <w:tc>
          <w:tcPr>
            <w:tcW w:w="990" w:type="dxa"/>
            <w:hideMark/>
          </w:tcPr>
          <w:p w14:paraId="0FE8EF3D" w14:textId="77777777" w:rsidR="00E31FAB" w:rsidRPr="001745E0" w:rsidRDefault="00E31FAB" w:rsidP="00AA3210">
            <w:pPr>
              <w:spacing w:before="60" w:after="60"/>
              <w:ind w:left="-34"/>
              <w:jc w:val="center"/>
            </w:pPr>
            <w:r w:rsidRPr="001745E0">
              <w:t>0.4970</w:t>
            </w:r>
          </w:p>
        </w:tc>
        <w:tc>
          <w:tcPr>
            <w:tcW w:w="990" w:type="dxa"/>
            <w:hideMark/>
          </w:tcPr>
          <w:p w14:paraId="762EB3D9" w14:textId="77777777" w:rsidR="00E31FAB" w:rsidRPr="001745E0" w:rsidRDefault="00E31FAB" w:rsidP="00AA3210">
            <w:pPr>
              <w:spacing w:before="60" w:after="60"/>
              <w:ind w:left="-34"/>
              <w:jc w:val="center"/>
            </w:pPr>
            <w:r w:rsidRPr="001745E0">
              <w:t>0.4240</w:t>
            </w:r>
          </w:p>
        </w:tc>
        <w:tc>
          <w:tcPr>
            <w:tcW w:w="990" w:type="dxa"/>
            <w:hideMark/>
          </w:tcPr>
          <w:p w14:paraId="78B690FA" w14:textId="77777777" w:rsidR="00E31FAB" w:rsidRPr="001745E0" w:rsidRDefault="00E31FAB" w:rsidP="00AA3210">
            <w:pPr>
              <w:spacing w:before="60" w:after="60"/>
              <w:ind w:left="-34"/>
              <w:jc w:val="center"/>
            </w:pPr>
            <w:r w:rsidRPr="001745E0">
              <w:t>0.2520</w:t>
            </w:r>
          </w:p>
        </w:tc>
        <w:tc>
          <w:tcPr>
            <w:tcW w:w="990" w:type="dxa"/>
            <w:hideMark/>
          </w:tcPr>
          <w:p w14:paraId="0EE4BE7C" w14:textId="77777777" w:rsidR="00E31FAB" w:rsidRPr="001745E0" w:rsidRDefault="00E31FAB" w:rsidP="00AA3210">
            <w:pPr>
              <w:spacing w:before="60" w:after="60"/>
              <w:ind w:left="-34"/>
              <w:jc w:val="center"/>
            </w:pPr>
            <w:r w:rsidRPr="001745E0">
              <w:t>0.2680</w:t>
            </w:r>
          </w:p>
        </w:tc>
        <w:tc>
          <w:tcPr>
            <w:tcW w:w="990" w:type="dxa"/>
            <w:hideMark/>
          </w:tcPr>
          <w:p w14:paraId="786C51AB" w14:textId="77777777" w:rsidR="00E31FAB" w:rsidRPr="001745E0" w:rsidRDefault="00E31FAB" w:rsidP="00AA3210">
            <w:pPr>
              <w:spacing w:before="60" w:after="60"/>
              <w:ind w:left="-34"/>
              <w:jc w:val="center"/>
            </w:pPr>
            <w:r w:rsidRPr="001745E0">
              <w:t>0.1050</w:t>
            </w:r>
          </w:p>
        </w:tc>
      </w:tr>
      <w:tr w:rsidR="00511E18" w:rsidRPr="001745E0" w14:paraId="0DCBCBF6" w14:textId="77777777" w:rsidTr="00511E18">
        <w:trPr>
          <w:cnfStyle w:val="000000100000" w:firstRow="0" w:lastRow="0" w:firstColumn="0" w:lastColumn="0" w:oddVBand="0" w:evenVBand="0" w:oddHBand="1" w:evenHBand="0" w:firstRowFirstColumn="0" w:firstRowLastColumn="0" w:lastRowFirstColumn="0" w:lastRowLastColumn="0"/>
          <w:trHeight w:val="300"/>
        </w:trPr>
        <w:tc>
          <w:tcPr>
            <w:tcW w:w="535" w:type="dxa"/>
          </w:tcPr>
          <w:p w14:paraId="245E817F" w14:textId="77777777" w:rsidR="00E31FAB" w:rsidRPr="001745E0" w:rsidRDefault="00E31FAB" w:rsidP="00E31FAB">
            <w:pPr>
              <w:spacing w:before="60" w:after="60"/>
              <w:ind w:left="-38"/>
            </w:pPr>
            <w:r w:rsidRPr="001745E0">
              <w:t>407</w:t>
            </w:r>
          </w:p>
        </w:tc>
        <w:tc>
          <w:tcPr>
            <w:tcW w:w="3150" w:type="dxa"/>
          </w:tcPr>
          <w:p w14:paraId="589A9CCF" w14:textId="77777777" w:rsidR="00E31FAB" w:rsidRPr="001745E0" w:rsidRDefault="00E31FAB" w:rsidP="00E31FAB">
            <w:pPr>
              <w:spacing w:before="60" w:after="60"/>
              <w:ind w:left="-38"/>
            </w:pPr>
            <w:r w:rsidRPr="001745E0">
              <w:t>SPECIFIC LEARNING DISABILITY</w:t>
            </w:r>
          </w:p>
        </w:tc>
        <w:tc>
          <w:tcPr>
            <w:tcW w:w="990" w:type="dxa"/>
            <w:hideMark/>
          </w:tcPr>
          <w:p w14:paraId="3E7E8977" w14:textId="77777777" w:rsidR="00E31FAB" w:rsidRPr="001745E0" w:rsidRDefault="00E31FAB" w:rsidP="00AA3210">
            <w:pPr>
              <w:spacing w:before="60" w:after="60"/>
              <w:ind w:left="-34"/>
              <w:jc w:val="center"/>
            </w:pPr>
            <w:r w:rsidRPr="001745E0">
              <w:t>0.1530</w:t>
            </w:r>
          </w:p>
        </w:tc>
        <w:tc>
          <w:tcPr>
            <w:tcW w:w="990" w:type="dxa"/>
            <w:hideMark/>
          </w:tcPr>
          <w:p w14:paraId="176C7306" w14:textId="77777777" w:rsidR="00E31FAB" w:rsidRPr="001745E0" w:rsidRDefault="00E31FAB" w:rsidP="00AA3210">
            <w:pPr>
              <w:spacing w:before="60" w:after="60"/>
              <w:ind w:left="-34"/>
              <w:jc w:val="center"/>
            </w:pPr>
            <w:r w:rsidRPr="001745E0">
              <w:t>0.3890</w:t>
            </w:r>
          </w:p>
        </w:tc>
        <w:tc>
          <w:tcPr>
            <w:tcW w:w="990" w:type="dxa"/>
            <w:hideMark/>
          </w:tcPr>
          <w:p w14:paraId="36856A06" w14:textId="77777777" w:rsidR="00E31FAB" w:rsidRPr="001745E0" w:rsidRDefault="00E31FAB" w:rsidP="00AA3210">
            <w:pPr>
              <w:spacing w:before="60" w:after="60"/>
              <w:ind w:left="-34"/>
              <w:jc w:val="center"/>
            </w:pPr>
            <w:r w:rsidRPr="001745E0">
              <w:t>0.7460</w:t>
            </w:r>
          </w:p>
        </w:tc>
        <w:tc>
          <w:tcPr>
            <w:tcW w:w="990" w:type="dxa"/>
            <w:hideMark/>
          </w:tcPr>
          <w:p w14:paraId="37412E8A" w14:textId="77777777" w:rsidR="00E31FAB" w:rsidRPr="001745E0" w:rsidRDefault="00E31FAB" w:rsidP="00AA3210">
            <w:pPr>
              <w:spacing w:before="60" w:after="60"/>
              <w:ind w:left="-34"/>
              <w:jc w:val="center"/>
            </w:pPr>
            <w:r w:rsidRPr="001745E0">
              <w:t>0.6370</w:t>
            </w:r>
          </w:p>
        </w:tc>
        <w:tc>
          <w:tcPr>
            <w:tcW w:w="990" w:type="dxa"/>
            <w:hideMark/>
          </w:tcPr>
          <w:p w14:paraId="5AA32D1D" w14:textId="77777777" w:rsidR="00E31FAB" w:rsidRPr="001745E0" w:rsidRDefault="00E31FAB" w:rsidP="00AA3210">
            <w:pPr>
              <w:spacing w:before="60" w:after="60"/>
              <w:ind w:left="-34"/>
              <w:jc w:val="center"/>
            </w:pPr>
            <w:r w:rsidRPr="001745E0">
              <w:t>0.4710</w:t>
            </w:r>
          </w:p>
        </w:tc>
        <w:tc>
          <w:tcPr>
            <w:tcW w:w="990" w:type="dxa"/>
            <w:hideMark/>
          </w:tcPr>
          <w:p w14:paraId="4106883A" w14:textId="77777777" w:rsidR="00E31FAB" w:rsidRPr="001745E0" w:rsidRDefault="00E31FAB" w:rsidP="00AA3210">
            <w:pPr>
              <w:spacing w:before="60" w:after="60"/>
              <w:ind w:left="-34"/>
              <w:jc w:val="center"/>
            </w:pPr>
            <w:r w:rsidRPr="001745E0">
              <w:t>0.4610</w:t>
            </w:r>
          </w:p>
        </w:tc>
        <w:tc>
          <w:tcPr>
            <w:tcW w:w="990" w:type="dxa"/>
            <w:hideMark/>
          </w:tcPr>
          <w:p w14:paraId="32A4F8FB" w14:textId="77777777" w:rsidR="00E31FAB" w:rsidRPr="001745E0" w:rsidRDefault="00E31FAB" w:rsidP="00AA3210">
            <w:pPr>
              <w:spacing w:before="60" w:after="60"/>
              <w:ind w:left="-34"/>
              <w:jc w:val="center"/>
            </w:pPr>
            <w:r w:rsidRPr="001745E0">
              <w:t>0.4550</w:t>
            </w:r>
          </w:p>
        </w:tc>
        <w:tc>
          <w:tcPr>
            <w:tcW w:w="990" w:type="dxa"/>
            <w:hideMark/>
          </w:tcPr>
          <w:p w14:paraId="7DF07BD6" w14:textId="77777777" w:rsidR="00E31FAB" w:rsidRPr="001745E0" w:rsidRDefault="00E31FAB" w:rsidP="00AA3210">
            <w:pPr>
              <w:spacing w:before="60" w:after="60"/>
              <w:ind w:left="-34"/>
              <w:jc w:val="center"/>
            </w:pPr>
            <w:r w:rsidRPr="001745E0">
              <w:t>0.4550</w:t>
            </w:r>
          </w:p>
        </w:tc>
      </w:tr>
      <w:tr w:rsidR="00511E18" w:rsidRPr="001745E0" w14:paraId="661CCA41" w14:textId="77777777" w:rsidTr="00511E18">
        <w:trPr>
          <w:cnfStyle w:val="000000010000" w:firstRow="0" w:lastRow="0" w:firstColumn="0" w:lastColumn="0" w:oddVBand="0" w:evenVBand="0" w:oddHBand="0" w:evenHBand="1" w:firstRowFirstColumn="0" w:firstRowLastColumn="0" w:lastRowFirstColumn="0" w:lastRowLastColumn="0"/>
          <w:trHeight w:val="319"/>
        </w:trPr>
        <w:tc>
          <w:tcPr>
            <w:tcW w:w="535" w:type="dxa"/>
          </w:tcPr>
          <w:p w14:paraId="5E5C62B9" w14:textId="77777777" w:rsidR="00E31FAB" w:rsidRPr="001745E0" w:rsidRDefault="00E31FAB" w:rsidP="00E31FAB">
            <w:pPr>
              <w:spacing w:before="60" w:after="60"/>
              <w:ind w:left="-38"/>
            </w:pPr>
            <w:r w:rsidRPr="001745E0">
              <w:t>408</w:t>
            </w:r>
          </w:p>
        </w:tc>
        <w:tc>
          <w:tcPr>
            <w:tcW w:w="3150" w:type="dxa"/>
          </w:tcPr>
          <w:p w14:paraId="1944428E" w14:textId="77777777" w:rsidR="00E31FAB" w:rsidRPr="001745E0" w:rsidRDefault="00E31FAB" w:rsidP="00E31FAB">
            <w:pPr>
              <w:spacing w:before="60" w:after="60"/>
              <w:ind w:left="-38"/>
            </w:pPr>
            <w:r w:rsidRPr="001745E0">
              <w:t>EMOTIONAL OR BEHAVIORAL DISORDERS</w:t>
            </w:r>
          </w:p>
        </w:tc>
        <w:tc>
          <w:tcPr>
            <w:tcW w:w="990" w:type="dxa"/>
            <w:hideMark/>
          </w:tcPr>
          <w:p w14:paraId="6AB9F1EA" w14:textId="77777777" w:rsidR="00E31FAB" w:rsidRPr="001745E0" w:rsidRDefault="00E31FAB" w:rsidP="00AA3210">
            <w:pPr>
              <w:spacing w:before="60" w:after="60"/>
              <w:ind w:left="-34"/>
              <w:jc w:val="center"/>
            </w:pPr>
            <w:r w:rsidRPr="001745E0">
              <w:t>0.1420</w:t>
            </w:r>
          </w:p>
        </w:tc>
        <w:tc>
          <w:tcPr>
            <w:tcW w:w="990" w:type="dxa"/>
            <w:hideMark/>
          </w:tcPr>
          <w:p w14:paraId="7A827DEA" w14:textId="77777777" w:rsidR="00E31FAB" w:rsidRPr="001745E0" w:rsidRDefault="00E31FAB" w:rsidP="00AA3210">
            <w:pPr>
              <w:spacing w:before="60" w:after="60"/>
              <w:ind w:left="-34"/>
              <w:jc w:val="center"/>
            </w:pPr>
            <w:r w:rsidRPr="001745E0">
              <w:t>0.4090</w:t>
            </w:r>
          </w:p>
        </w:tc>
        <w:tc>
          <w:tcPr>
            <w:tcW w:w="990" w:type="dxa"/>
            <w:hideMark/>
          </w:tcPr>
          <w:p w14:paraId="7B256706" w14:textId="77777777" w:rsidR="00E31FAB" w:rsidRPr="001745E0" w:rsidRDefault="00E31FAB" w:rsidP="00AA3210">
            <w:pPr>
              <w:spacing w:before="60" w:after="60"/>
              <w:ind w:left="-34"/>
              <w:jc w:val="center"/>
            </w:pPr>
            <w:r w:rsidRPr="001745E0">
              <w:t>0.8780</w:t>
            </w:r>
          </w:p>
        </w:tc>
        <w:tc>
          <w:tcPr>
            <w:tcW w:w="990" w:type="dxa"/>
            <w:hideMark/>
          </w:tcPr>
          <w:p w14:paraId="64EE5C78" w14:textId="77777777" w:rsidR="00E31FAB" w:rsidRPr="001745E0" w:rsidRDefault="00E31FAB" w:rsidP="00AA3210">
            <w:pPr>
              <w:spacing w:before="60" w:after="60"/>
              <w:ind w:left="-34"/>
              <w:jc w:val="center"/>
            </w:pPr>
            <w:r w:rsidRPr="001745E0">
              <w:t>0.9630</w:t>
            </w:r>
          </w:p>
        </w:tc>
        <w:tc>
          <w:tcPr>
            <w:tcW w:w="990" w:type="dxa"/>
            <w:hideMark/>
          </w:tcPr>
          <w:p w14:paraId="275E5B36" w14:textId="77777777" w:rsidR="00E31FAB" w:rsidRPr="001745E0" w:rsidRDefault="00E31FAB" w:rsidP="00AA3210">
            <w:pPr>
              <w:spacing w:before="60" w:after="60"/>
              <w:ind w:left="-34"/>
              <w:jc w:val="center"/>
            </w:pPr>
            <w:r w:rsidRPr="001745E0">
              <w:t>0.6410</w:t>
            </w:r>
          </w:p>
        </w:tc>
        <w:tc>
          <w:tcPr>
            <w:tcW w:w="990" w:type="dxa"/>
            <w:hideMark/>
          </w:tcPr>
          <w:p w14:paraId="69DDE481" w14:textId="77777777" w:rsidR="00E31FAB" w:rsidRPr="001745E0" w:rsidRDefault="00E31FAB" w:rsidP="00AA3210">
            <w:pPr>
              <w:spacing w:before="60" w:after="60"/>
              <w:ind w:left="-34"/>
              <w:jc w:val="center"/>
            </w:pPr>
            <w:r w:rsidRPr="001745E0">
              <w:t>0.5700</w:t>
            </w:r>
          </w:p>
        </w:tc>
        <w:tc>
          <w:tcPr>
            <w:tcW w:w="990" w:type="dxa"/>
            <w:hideMark/>
          </w:tcPr>
          <w:p w14:paraId="00942A6B" w14:textId="77777777" w:rsidR="00E31FAB" w:rsidRPr="001745E0" w:rsidRDefault="00E31FAB" w:rsidP="00AA3210">
            <w:pPr>
              <w:spacing w:before="60" w:after="60"/>
              <w:ind w:left="-34"/>
              <w:jc w:val="center"/>
            </w:pPr>
            <w:r w:rsidRPr="001745E0">
              <w:t>0.5140</w:t>
            </w:r>
          </w:p>
        </w:tc>
        <w:tc>
          <w:tcPr>
            <w:tcW w:w="990" w:type="dxa"/>
            <w:hideMark/>
          </w:tcPr>
          <w:p w14:paraId="4F2C0085" w14:textId="77777777" w:rsidR="00E31FAB" w:rsidRPr="001745E0" w:rsidRDefault="00E31FAB" w:rsidP="00AA3210">
            <w:pPr>
              <w:spacing w:before="60" w:after="60"/>
              <w:ind w:left="-34"/>
              <w:jc w:val="center"/>
            </w:pPr>
            <w:r w:rsidRPr="001745E0">
              <w:t>0.4080</w:t>
            </w:r>
          </w:p>
        </w:tc>
      </w:tr>
      <w:tr w:rsidR="00511E18" w:rsidRPr="001745E0" w14:paraId="4DDB173D" w14:textId="77777777" w:rsidTr="00511E18">
        <w:trPr>
          <w:cnfStyle w:val="000000100000" w:firstRow="0" w:lastRow="0" w:firstColumn="0" w:lastColumn="0" w:oddVBand="0" w:evenVBand="0" w:oddHBand="1" w:evenHBand="0" w:firstRowFirstColumn="0" w:firstRowLastColumn="0" w:lastRowFirstColumn="0" w:lastRowLastColumn="0"/>
          <w:trHeight w:val="300"/>
        </w:trPr>
        <w:tc>
          <w:tcPr>
            <w:tcW w:w="535" w:type="dxa"/>
          </w:tcPr>
          <w:p w14:paraId="7988000B" w14:textId="77777777" w:rsidR="00E31FAB" w:rsidRPr="001745E0" w:rsidRDefault="00E31FAB" w:rsidP="00E31FAB">
            <w:pPr>
              <w:spacing w:before="60" w:after="60"/>
              <w:ind w:left="-38"/>
            </w:pPr>
            <w:r w:rsidRPr="001745E0">
              <w:t>409</w:t>
            </w:r>
          </w:p>
        </w:tc>
        <w:tc>
          <w:tcPr>
            <w:tcW w:w="3150" w:type="dxa"/>
          </w:tcPr>
          <w:p w14:paraId="71769D6E" w14:textId="77777777" w:rsidR="00E31FAB" w:rsidRPr="001745E0" w:rsidRDefault="00E31FAB" w:rsidP="00E31FAB">
            <w:pPr>
              <w:spacing w:before="60" w:after="60"/>
              <w:ind w:left="-38"/>
            </w:pPr>
            <w:r w:rsidRPr="001745E0">
              <w:t>DEAFBLIND</w:t>
            </w:r>
          </w:p>
        </w:tc>
        <w:tc>
          <w:tcPr>
            <w:tcW w:w="990" w:type="dxa"/>
            <w:hideMark/>
          </w:tcPr>
          <w:p w14:paraId="6E82737A" w14:textId="77777777" w:rsidR="00E31FAB" w:rsidRPr="001745E0" w:rsidRDefault="00E31FAB" w:rsidP="00AA3210">
            <w:pPr>
              <w:spacing w:before="60" w:after="60"/>
              <w:ind w:left="-34"/>
              <w:jc w:val="center"/>
            </w:pPr>
            <w:r w:rsidRPr="001745E0">
              <w:t>0.2340</w:t>
            </w:r>
          </w:p>
        </w:tc>
        <w:tc>
          <w:tcPr>
            <w:tcW w:w="990" w:type="dxa"/>
            <w:hideMark/>
          </w:tcPr>
          <w:p w14:paraId="1D950C87" w14:textId="77777777" w:rsidR="00E31FAB" w:rsidRPr="001745E0" w:rsidRDefault="00E31FAB" w:rsidP="00AA3210">
            <w:pPr>
              <w:spacing w:before="60" w:after="60"/>
              <w:ind w:left="-34"/>
              <w:jc w:val="center"/>
            </w:pPr>
            <w:r w:rsidRPr="001745E0">
              <w:t>0.6270</w:t>
            </w:r>
          </w:p>
        </w:tc>
        <w:tc>
          <w:tcPr>
            <w:tcW w:w="990" w:type="dxa"/>
            <w:hideMark/>
          </w:tcPr>
          <w:p w14:paraId="7A0E5E99" w14:textId="77777777" w:rsidR="00E31FAB" w:rsidRPr="001745E0" w:rsidRDefault="00E31FAB" w:rsidP="00AA3210">
            <w:pPr>
              <w:spacing w:before="60" w:after="60"/>
              <w:ind w:left="-34"/>
              <w:jc w:val="center"/>
            </w:pPr>
            <w:r w:rsidRPr="001745E0">
              <w:t>0.9120</w:t>
            </w:r>
          </w:p>
        </w:tc>
        <w:tc>
          <w:tcPr>
            <w:tcW w:w="990" w:type="dxa"/>
            <w:hideMark/>
          </w:tcPr>
          <w:p w14:paraId="144FFF55" w14:textId="77777777" w:rsidR="00E31FAB" w:rsidRPr="001745E0" w:rsidRDefault="00E31FAB" w:rsidP="00AA3210">
            <w:pPr>
              <w:spacing w:before="60" w:after="60"/>
              <w:ind w:left="-34"/>
              <w:jc w:val="center"/>
            </w:pPr>
            <w:r w:rsidRPr="001745E0">
              <w:t>0.8510</w:t>
            </w:r>
          </w:p>
        </w:tc>
        <w:tc>
          <w:tcPr>
            <w:tcW w:w="990" w:type="dxa"/>
            <w:hideMark/>
          </w:tcPr>
          <w:p w14:paraId="5C031B25" w14:textId="77777777" w:rsidR="00E31FAB" w:rsidRPr="001745E0" w:rsidRDefault="00E31FAB" w:rsidP="00AA3210">
            <w:pPr>
              <w:spacing w:before="60" w:after="60"/>
              <w:ind w:left="-34"/>
              <w:jc w:val="center"/>
            </w:pPr>
            <w:r w:rsidRPr="001745E0">
              <w:t>1.0000</w:t>
            </w:r>
          </w:p>
        </w:tc>
        <w:tc>
          <w:tcPr>
            <w:tcW w:w="990" w:type="dxa"/>
            <w:hideMark/>
          </w:tcPr>
          <w:p w14:paraId="7E354E47" w14:textId="77777777" w:rsidR="00E31FAB" w:rsidRPr="001745E0" w:rsidRDefault="00E31FAB" w:rsidP="00AA3210">
            <w:pPr>
              <w:spacing w:before="60" w:after="60"/>
              <w:ind w:left="-34"/>
              <w:jc w:val="center"/>
            </w:pPr>
            <w:r w:rsidRPr="001745E0">
              <w:t>1.0000</w:t>
            </w:r>
          </w:p>
        </w:tc>
        <w:tc>
          <w:tcPr>
            <w:tcW w:w="990" w:type="dxa"/>
            <w:hideMark/>
          </w:tcPr>
          <w:p w14:paraId="5E08F2F3" w14:textId="77777777" w:rsidR="00E31FAB" w:rsidRPr="001745E0" w:rsidRDefault="00E31FAB" w:rsidP="00AA3210">
            <w:pPr>
              <w:spacing w:before="60" w:after="60"/>
              <w:ind w:left="-34"/>
              <w:jc w:val="center"/>
            </w:pPr>
            <w:r w:rsidRPr="001745E0">
              <w:t>1.0000</w:t>
            </w:r>
          </w:p>
        </w:tc>
        <w:tc>
          <w:tcPr>
            <w:tcW w:w="990" w:type="dxa"/>
            <w:hideMark/>
          </w:tcPr>
          <w:p w14:paraId="185D498B" w14:textId="77777777" w:rsidR="00E31FAB" w:rsidRPr="001745E0" w:rsidRDefault="00E31FAB" w:rsidP="00AA3210">
            <w:pPr>
              <w:spacing w:before="60" w:after="60"/>
              <w:ind w:left="-34"/>
              <w:jc w:val="center"/>
            </w:pPr>
            <w:r w:rsidRPr="001745E0">
              <w:t>1.0000</w:t>
            </w:r>
          </w:p>
        </w:tc>
      </w:tr>
      <w:tr w:rsidR="00511E18" w:rsidRPr="001745E0" w14:paraId="3F0242AD" w14:textId="77777777" w:rsidTr="00511E18">
        <w:trPr>
          <w:cnfStyle w:val="000000010000" w:firstRow="0" w:lastRow="0" w:firstColumn="0" w:lastColumn="0" w:oddVBand="0" w:evenVBand="0" w:oddHBand="0" w:evenHBand="1" w:firstRowFirstColumn="0" w:firstRowLastColumn="0" w:lastRowFirstColumn="0" w:lastRowLastColumn="0"/>
          <w:trHeight w:val="300"/>
        </w:trPr>
        <w:tc>
          <w:tcPr>
            <w:tcW w:w="535" w:type="dxa"/>
          </w:tcPr>
          <w:p w14:paraId="69174C69" w14:textId="77777777" w:rsidR="00E31FAB" w:rsidRPr="001745E0" w:rsidRDefault="00E31FAB" w:rsidP="00E31FAB">
            <w:pPr>
              <w:spacing w:before="60" w:after="60"/>
              <w:ind w:left="-38"/>
            </w:pPr>
            <w:r w:rsidRPr="001745E0">
              <w:t>410</w:t>
            </w:r>
          </w:p>
        </w:tc>
        <w:tc>
          <w:tcPr>
            <w:tcW w:w="3150" w:type="dxa"/>
          </w:tcPr>
          <w:p w14:paraId="3DDB3C66" w14:textId="77777777" w:rsidR="00E31FAB" w:rsidRPr="001745E0" w:rsidRDefault="00E31FAB" w:rsidP="00E31FAB">
            <w:pPr>
              <w:spacing w:before="60" w:after="60"/>
              <w:ind w:left="-38"/>
            </w:pPr>
            <w:r w:rsidRPr="001745E0">
              <w:t>OTHER HEALTH DISABILITIES</w:t>
            </w:r>
          </w:p>
        </w:tc>
        <w:tc>
          <w:tcPr>
            <w:tcW w:w="990" w:type="dxa"/>
            <w:hideMark/>
          </w:tcPr>
          <w:p w14:paraId="1EA8F03F" w14:textId="77777777" w:rsidR="00E31FAB" w:rsidRPr="001745E0" w:rsidRDefault="00E31FAB" w:rsidP="00AA3210">
            <w:pPr>
              <w:spacing w:before="60" w:after="60"/>
              <w:ind w:left="-34"/>
              <w:jc w:val="center"/>
            </w:pPr>
            <w:r w:rsidRPr="001745E0">
              <w:t>0.1670</w:t>
            </w:r>
          </w:p>
        </w:tc>
        <w:tc>
          <w:tcPr>
            <w:tcW w:w="990" w:type="dxa"/>
            <w:hideMark/>
          </w:tcPr>
          <w:p w14:paraId="52155689" w14:textId="77777777" w:rsidR="00E31FAB" w:rsidRPr="001745E0" w:rsidRDefault="00E31FAB" w:rsidP="00AA3210">
            <w:pPr>
              <w:spacing w:before="60" w:after="60"/>
              <w:ind w:left="-34"/>
              <w:jc w:val="center"/>
            </w:pPr>
            <w:r w:rsidRPr="001745E0">
              <w:t>0.4080</w:t>
            </w:r>
          </w:p>
        </w:tc>
        <w:tc>
          <w:tcPr>
            <w:tcW w:w="990" w:type="dxa"/>
            <w:hideMark/>
          </w:tcPr>
          <w:p w14:paraId="17A5A1B6" w14:textId="77777777" w:rsidR="00E31FAB" w:rsidRPr="001745E0" w:rsidRDefault="00E31FAB" w:rsidP="00AA3210">
            <w:pPr>
              <w:spacing w:before="60" w:after="60"/>
              <w:ind w:left="-34"/>
              <w:jc w:val="center"/>
            </w:pPr>
            <w:r w:rsidRPr="001745E0">
              <w:t>0.9080</w:t>
            </w:r>
          </w:p>
        </w:tc>
        <w:tc>
          <w:tcPr>
            <w:tcW w:w="990" w:type="dxa"/>
            <w:hideMark/>
          </w:tcPr>
          <w:p w14:paraId="483971B9" w14:textId="77777777" w:rsidR="00E31FAB" w:rsidRPr="001745E0" w:rsidRDefault="00E31FAB" w:rsidP="00AA3210">
            <w:pPr>
              <w:spacing w:before="60" w:after="60"/>
              <w:ind w:left="-34"/>
              <w:jc w:val="center"/>
            </w:pPr>
            <w:r w:rsidRPr="001745E0">
              <w:t>0.9860</w:t>
            </w:r>
          </w:p>
        </w:tc>
        <w:tc>
          <w:tcPr>
            <w:tcW w:w="990" w:type="dxa"/>
            <w:hideMark/>
          </w:tcPr>
          <w:p w14:paraId="5ECC9F4C" w14:textId="77777777" w:rsidR="00E31FAB" w:rsidRPr="001745E0" w:rsidRDefault="00E31FAB" w:rsidP="00AA3210">
            <w:pPr>
              <w:spacing w:before="60" w:after="60"/>
              <w:ind w:left="-34"/>
              <w:jc w:val="center"/>
            </w:pPr>
            <w:r w:rsidRPr="001745E0">
              <w:t>0.5440</w:t>
            </w:r>
          </w:p>
        </w:tc>
        <w:tc>
          <w:tcPr>
            <w:tcW w:w="990" w:type="dxa"/>
            <w:hideMark/>
          </w:tcPr>
          <w:p w14:paraId="6B07FF52" w14:textId="77777777" w:rsidR="00E31FAB" w:rsidRPr="001745E0" w:rsidRDefault="00E31FAB" w:rsidP="00AA3210">
            <w:pPr>
              <w:spacing w:before="60" w:after="60"/>
              <w:ind w:left="-34"/>
              <w:jc w:val="center"/>
            </w:pPr>
            <w:r w:rsidRPr="001745E0">
              <w:t>0.5320</w:t>
            </w:r>
          </w:p>
        </w:tc>
        <w:tc>
          <w:tcPr>
            <w:tcW w:w="990" w:type="dxa"/>
            <w:hideMark/>
          </w:tcPr>
          <w:p w14:paraId="2CDAEF64" w14:textId="77777777" w:rsidR="00E31FAB" w:rsidRPr="001745E0" w:rsidRDefault="00E31FAB" w:rsidP="00AA3210">
            <w:pPr>
              <w:spacing w:before="60" w:after="60"/>
              <w:ind w:left="-34"/>
              <w:jc w:val="center"/>
            </w:pPr>
            <w:r w:rsidRPr="001745E0">
              <w:t>0.6050</w:t>
            </w:r>
          </w:p>
        </w:tc>
        <w:tc>
          <w:tcPr>
            <w:tcW w:w="990" w:type="dxa"/>
            <w:hideMark/>
          </w:tcPr>
          <w:p w14:paraId="661E99E1" w14:textId="77777777" w:rsidR="00E31FAB" w:rsidRPr="001745E0" w:rsidRDefault="00E31FAB" w:rsidP="00AA3210">
            <w:pPr>
              <w:spacing w:before="60" w:after="60"/>
              <w:ind w:left="-34"/>
              <w:jc w:val="center"/>
            </w:pPr>
            <w:r w:rsidRPr="001745E0">
              <w:t>0.2470</w:t>
            </w:r>
          </w:p>
        </w:tc>
      </w:tr>
      <w:tr w:rsidR="00511E18" w:rsidRPr="001745E0" w14:paraId="74B600B7" w14:textId="77777777" w:rsidTr="00511E18">
        <w:trPr>
          <w:cnfStyle w:val="000000100000" w:firstRow="0" w:lastRow="0" w:firstColumn="0" w:lastColumn="0" w:oddVBand="0" w:evenVBand="0" w:oddHBand="1" w:evenHBand="0" w:firstRowFirstColumn="0" w:firstRowLastColumn="0" w:lastRowFirstColumn="0" w:lastRowLastColumn="0"/>
          <w:trHeight w:val="319"/>
        </w:trPr>
        <w:tc>
          <w:tcPr>
            <w:tcW w:w="535" w:type="dxa"/>
          </w:tcPr>
          <w:p w14:paraId="54C4BCF0" w14:textId="77777777" w:rsidR="00E31FAB" w:rsidRPr="001745E0" w:rsidRDefault="00E31FAB" w:rsidP="00E31FAB">
            <w:pPr>
              <w:spacing w:before="60" w:after="60"/>
              <w:ind w:left="-38"/>
            </w:pPr>
            <w:r w:rsidRPr="001745E0">
              <w:t>411</w:t>
            </w:r>
          </w:p>
        </w:tc>
        <w:tc>
          <w:tcPr>
            <w:tcW w:w="3150" w:type="dxa"/>
          </w:tcPr>
          <w:p w14:paraId="1A913814" w14:textId="77777777" w:rsidR="00E31FAB" w:rsidRPr="001745E0" w:rsidRDefault="00E31FAB" w:rsidP="00E31FAB">
            <w:pPr>
              <w:spacing w:before="60" w:after="60"/>
              <w:ind w:left="-38"/>
            </w:pPr>
            <w:r w:rsidRPr="001745E0">
              <w:t>AUTISM SPECTRUM DISORDERS</w:t>
            </w:r>
          </w:p>
        </w:tc>
        <w:tc>
          <w:tcPr>
            <w:tcW w:w="990" w:type="dxa"/>
            <w:hideMark/>
          </w:tcPr>
          <w:p w14:paraId="50211887" w14:textId="77777777" w:rsidR="00E31FAB" w:rsidRPr="001745E0" w:rsidRDefault="00E31FAB" w:rsidP="00AA3210">
            <w:pPr>
              <w:spacing w:before="60" w:after="60"/>
              <w:ind w:left="-34"/>
              <w:jc w:val="center"/>
            </w:pPr>
            <w:r w:rsidRPr="001745E0">
              <w:t>0.1460</w:t>
            </w:r>
          </w:p>
        </w:tc>
        <w:tc>
          <w:tcPr>
            <w:tcW w:w="990" w:type="dxa"/>
            <w:hideMark/>
          </w:tcPr>
          <w:p w14:paraId="20B6D4E7" w14:textId="77777777" w:rsidR="00E31FAB" w:rsidRPr="001745E0" w:rsidRDefault="00E31FAB" w:rsidP="00AA3210">
            <w:pPr>
              <w:spacing w:before="60" w:after="60"/>
              <w:ind w:left="-34"/>
              <w:jc w:val="center"/>
            </w:pPr>
            <w:r w:rsidRPr="001745E0">
              <w:t>0.4730</w:t>
            </w:r>
          </w:p>
        </w:tc>
        <w:tc>
          <w:tcPr>
            <w:tcW w:w="990" w:type="dxa"/>
            <w:hideMark/>
          </w:tcPr>
          <w:p w14:paraId="21125DF0" w14:textId="77777777" w:rsidR="00E31FAB" w:rsidRPr="001745E0" w:rsidRDefault="00E31FAB" w:rsidP="00AA3210">
            <w:pPr>
              <w:spacing w:before="60" w:after="60"/>
              <w:ind w:left="-34"/>
              <w:jc w:val="center"/>
            </w:pPr>
            <w:r w:rsidRPr="001745E0">
              <w:t>0.9610</w:t>
            </w:r>
          </w:p>
        </w:tc>
        <w:tc>
          <w:tcPr>
            <w:tcW w:w="990" w:type="dxa"/>
            <w:hideMark/>
          </w:tcPr>
          <w:p w14:paraId="58AA869E" w14:textId="77777777" w:rsidR="00E31FAB" w:rsidRPr="001745E0" w:rsidRDefault="00E31FAB" w:rsidP="00AA3210">
            <w:pPr>
              <w:spacing w:before="60" w:after="60"/>
              <w:ind w:left="-34"/>
              <w:jc w:val="center"/>
            </w:pPr>
            <w:r w:rsidRPr="001745E0">
              <w:t>1.0930</w:t>
            </w:r>
          </w:p>
        </w:tc>
        <w:tc>
          <w:tcPr>
            <w:tcW w:w="990" w:type="dxa"/>
            <w:hideMark/>
          </w:tcPr>
          <w:p w14:paraId="20FB51B6" w14:textId="77777777" w:rsidR="00E31FAB" w:rsidRPr="001745E0" w:rsidRDefault="00E31FAB" w:rsidP="00AA3210">
            <w:pPr>
              <w:spacing w:before="60" w:after="60"/>
              <w:ind w:left="-34"/>
              <w:jc w:val="center"/>
            </w:pPr>
            <w:r w:rsidRPr="001745E0">
              <w:t>0.5720</w:t>
            </w:r>
          </w:p>
        </w:tc>
        <w:tc>
          <w:tcPr>
            <w:tcW w:w="990" w:type="dxa"/>
            <w:hideMark/>
          </w:tcPr>
          <w:p w14:paraId="647A85B0" w14:textId="77777777" w:rsidR="00E31FAB" w:rsidRPr="001745E0" w:rsidRDefault="00E31FAB" w:rsidP="00AA3210">
            <w:pPr>
              <w:spacing w:before="60" w:after="60"/>
              <w:ind w:left="-34"/>
              <w:jc w:val="center"/>
            </w:pPr>
            <w:r w:rsidRPr="001745E0">
              <w:t>0.6940</w:t>
            </w:r>
          </w:p>
        </w:tc>
        <w:tc>
          <w:tcPr>
            <w:tcW w:w="990" w:type="dxa"/>
            <w:hideMark/>
          </w:tcPr>
          <w:p w14:paraId="4B679138" w14:textId="77777777" w:rsidR="00E31FAB" w:rsidRPr="001745E0" w:rsidRDefault="00E31FAB" w:rsidP="00AA3210">
            <w:pPr>
              <w:spacing w:before="60" w:after="60"/>
              <w:ind w:left="-34"/>
              <w:jc w:val="center"/>
            </w:pPr>
            <w:r w:rsidRPr="001745E0">
              <w:t>0.4960</w:t>
            </w:r>
          </w:p>
        </w:tc>
        <w:tc>
          <w:tcPr>
            <w:tcW w:w="990" w:type="dxa"/>
            <w:hideMark/>
          </w:tcPr>
          <w:p w14:paraId="5F3AFAD7" w14:textId="77777777" w:rsidR="00E31FAB" w:rsidRPr="001745E0" w:rsidRDefault="00E31FAB" w:rsidP="00AA3210">
            <w:pPr>
              <w:spacing w:before="60" w:after="60"/>
              <w:ind w:left="-34"/>
              <w:jc w:val="center"/>
            </w:pPr>
            <w:r w:rsidRPr="001745E0">
              <w:t>0.3340</w:t>
            </w:r>
          </w:p>
        </w:tc>
      </w:tr>
      <w:tr w:rsidR="00511E18" w:rsidRPr="001745E0" w14:paraId="1A865F54" w14:textId="77777777" w:rsidTr="00511E18">
        <w:trPr>
          <w:cnfStyle w:val="000000010000" w:firstRow="0" w:lastRow="0" w:firstColumn="0" w:lastColumn="0" w:oddVBand="0" w:evenVBand="0" w:oddHBand="0" w:evenHBand="1" w:firstRowFirstColumn="0" w:firstRowLastColumn="0" w:lastRowFirstColumn="0" w:lastRowLastColumn="0"/>
          <w:trHeight w:val="300"/>
        </w:trPr>
        <w:tc>
          <w:tcPr>
            <w:tcW w:w="535" w:type="dxa"/>
          </w:tcPr>
          <w:p w14:paraId="05465AEE" w14:textId="77777777" w:rsidR="00E31FAB" w:rsidRPr="001745E0" w:rsidRDefault="00E31FAB" w:rsidP="00E31FAB">
            <w:pPr>
              <w:spacing w:before="60" w:after="60"/>
              <w:ind w:left="-38"/>
            </w:pPr>
            <w:r w:rsidRPr="001745E0">
              <w:t>412</w:t>
            </w:r>
          </w:p>
        </w:tc>
        <w:tc>
          <w:tcPr>
            <w:tcW w:w="3150" w:type="dxa"/>
          </w:tcPr>
          <w:p w14:paraId="771B060B" w14:textId="77777777" w:rsidR="00E31FAB" w:rsidRPr="001745E0" w:rsidRDefault="00E31FAB" w:rsidP="00E31FAB">
            <w:pPr>
              <w:spacing w:before="60" w:after="60"/>
              <w:ind w:left="-38"/>
            </w:pPr>
            <w:r w:rsidRPr="001745E0">
              <w:t>DEVELOPMENTALLY DELAYED</w:t>
            </w:r>
          </w:p>
        </w:tc>
        <w:tc>
          <w:tcPr>
            <w:tcW w:w="990" w:type="dxa"/>
            <w:hideMark/>
          </w:tcPr>
          <w:p w14:paraId="62C3CCEE" w14:textId="77777777" w:rsidR="00E31FAB" w:rsidRPr="001745E0" w:rsidRDefault="00E31FAB" w:rsidP="00AA3210">
            <w:pPr>
              <w:spacing w:before="60" w:after="60"/>
              <w:ind w:left="-34"/>
              <w:jc w:val="center"/>
            </w:pPr>
            <w:r w:rsidRPr="001745E0">
              <w:t>0.2300</w:t>
            </w:r>
          </w:p>
        </w:tc>
        <w:tc>
          <w:tcPr>
            <w:tcW w:w="990" w:type="dxa"/>
            <w:hideMark/>
          </w:tcPr>
          <w:p w14:paraId="0C99A6E6" w14:textId="77777777" w:rsidR="00E31FAB" w:rsidRPr="001745E0" w:rsidRDefault="00E31FAB" w:rsidP="00AA3210">
            <w:pPr>
              <w:spacing w:before="60" w:after="60"/>
              <w:ind w:left="-34"/>
              <w:jc w:val="center"/>
            </w:pPr>
            <w:r w:rsidRPr="001745E0">
              <w:t>0.3800</w:t>
            </w:r>
          </w:p>
        </w:tc>
        <w:tc>
          <w:tcPr>
            <w:tcW w:w="990" w:type="dxa"/>
            <w:hideMark/>
          </w:tcPr>
          <w:p w14:paraId="7DA47043" w14:textId="77777777" w:rsidR="00E31FAB" w:rsidRPr="001745E0" w:rsidRDefault="00E31FAB" w:rsidP="00AA3210">
            <w:pPr>
              <w:spacing w:before="60" w:after="60"/>
              <w:ind w:left="-34"/>
              <w:jc w:val="center"/>
            </w:pPr>
            <w:r w:rsidRPr="001745E0">
              <w:t>0.4030</w:t>
            </w:r>
          </w:p>
        </w:tc>
        <w:tc>
          <w:tcPr>
            <w:tcW w:w="990" w:type="dxa"/>
            <w:hideMark/>
          </w:tcPr>
          <w:p w14:paraId="2873A8B6" w14:textId="77777777" w:rsidR="00E31FAB" w:rsidRPr="001745E0" w:rsidRDefault="00E31FAB" w:rsidP="00AA3210">
            <w:pPr>
              <w:spacing w:before="60" w:after="60"/>
              <w:ind w:left="-34"/>
              <w:jc w:val="center"/>
            </w:pPr>
            <w:r w:rsidRPr="001745E0">
              <w:t>0.3360</w:t>
            </w:r>
          </w:p>
        </w:tc>
        <w:tc>
          <w:tcPr>
            <w:tcW w:w="990" w:type="dxa"/>
            <w:hideMark/>
          </w:tcPr>
          <w:p w14:paraId="781C1705" w14:textId="77777777" w:rsidR="00E31FAB" w:rsidRPr="001745E0" w:rsidRDefault="00E31FAB" w:rsidP="00AA3210">
            <w:pPr>
              <w:spacing w:before="60" w:after="60"/>
              <w:ind w:left="-34"/>
              <w:jc w:val="center"/>
            </w:pPr>
            <w:r w:rsidRPr="001745E0">
              <w:t>0.0440</w:t>
            </w:r>
          </w:p>
        </w:tc>
        <w:tc>
          <w:tcPr>
            <w:tcW w:w="990" w:type="dxa"/>
            <w:hideMark/>
          </w:tcPr>
          <w:p w14:paraId="68AC10E7" w14:textId="77777777" w:rsidR="00E31FAB" w:rsidRPr="001745E0" w:rsidRDefault="00E31FAB" w:rsidP="00AA3210">
            <w:pPr>
              <w:spacing w:before="60" w:after="60"/>
              <w:ind w:left="-34"/>
              <w:jc w:val="center"/>
            </w:pPr>
            <w:r w:rsidRPr="001745E0">
              <w:t>0.1700</w:t>
            </w:r>
          </w:p>
        </w:tc>
        <w:tc>
          <w:tcPr>
            <w:tcW w:w="990" w:type="dxa"/>
            <w:hideMark/>
          </w:tcPr>
          <w:p w14:paraId="2C1151F3" w14:textId="77777777" w:rsidR="00E31FAB" w:rsidRPr="001745E0" w:rsidRDefault="00E31FAB" w:rsidP="00AA3210">
            <w:pPr>
              <w:spacing w:before="60" w:after="60"/>
              <w:ind w:left="-34"/>
              <w:jc w:val="center"/>
            </w:pPr>
            <w:r w:rsidRPr="001745E0">
              <w:t>0.1480</w:t>
            </w:r>
          </w:p>
        </w:tc>
        <w:tc>
          <w:tcPr>
            <w:tcW w:w="990" w:type="dxa"/>
            <w:hideMark/>
          </w:tcPr>
          <w:p w14:paraId="2F819D90" w14:textId="77777777" w:rsidR="00E31FAB" w:rsidRPr="001745E0" w:rsidRDefault="00E31FAB" w:rsidP="00AA3210">
            <w:pPr>
              <w:spacing w:before="60" w:after="60"/>
              <w:ind w:left="-34"/>
              <w:jc w:val="center"/>
            </w:pPr>
            <w:r w:rsidRPr="001745E0">
              <w:t>0.2320</w:t>
            </w:r>
          </w:p>
        </w:tc>
      </w:tr>
      <w:tr w:rsidR="00511E18" w:rsidRPr="001745E0" w14:paraId="7032FE18" w14:textId="77777777" w:rsidTr="00511E18">
        <w:trPr>
          <w:cnfStyle w:val="000000100000" w:firstRow="0" w:lastRow="0" w:firstColumn="0" w:lastColumn="0" w:oddVBand="0" w:evenVBand="0" w:oddHBand="1" w:evenHBand="0" w:firstRowFirstColumn="0" w:firstRowLastColumn="0" w:lastRowFirstColumn="0" w:lastRowLastColumn="0"/>
          <w:trHeight w:val="300"/>
        </w:trPr>
        <w:tc>
          <w:tcPr>
            <w:tcW w:w="535" w:type="dxa"/>
          </w:tcPr>
          <w:p w14:paraId="3003CDF7" w14:textId="77777777" w:rsidR="00E31FAB" w:rsidRPr="001745E0" w:rsidRDefault="00E31FAB" w:rsidP="00E31FAB">
            <w:pPr>
              <w:spacing w:before="60" w:after="60"/>
              <w:ind w:left="-38"/>
            </w:pPr>
            <w:r w:rsidRPr="001745E0">
              <w:t>414</w:t>
            </w:r>
          </w:p>
        </w:tc>
        <w:tc>
          <w:tcPr>
            <w:tcW w:w="3150" w:type="dxa"/>
          </w:tcPr>
          <w:p w14:paraId="1D015C44" w14:textId="77777777" w:rsidR="00E31FAB" w:rsidRPr="001745E0" w:rsidRDefault="00E31FAB" w:rsidP="00E31FAB">
            <w:pPr>
              <w:spacing w:before="60" w:after="60"/>
              <w:ind w:left="-38"/>
            </w:pPr>
            <w:r w:rsidRPr="001745E0">
              <w:t>TRUAMATIC BRAIN INJURY</w:t>
            </w:r>
          </w:p>
        </w:tc>
        <w:tc>
          <w:tcPr>
            <w:tcW w:w="990" w:type="dxa"/>
            <w:hideMark/>
          </w:tcPr>
          <w:p w14:paraId="583D66E2" w14:textId="77777777" w:rsidR="00E31FAB" w:rsidRPr="001745E0" w:rsidRDefault="00E31FAB" w:rsidP="00AA3210">
            <w:pPr>
              <w:spacing w:before="60" w:after="60"/>
              <w:ind w:left="-34"/>
              <w:jc w:val="center"/>
            </w:pPr>
            <w:r w:rsidRPr="001745E0">
              <w:t>0.1860</w:t>
            </w:r>
          </w:p>
        </w:tc>
        <w:tc>
          <w:tcPr>
            <w:tcW w:w="990" w:type="dxa"/>
            <w:hideMark/>
          </w:tcPr>
          <w:p w14:paraId="46A0BF32" w14:textId="77777777" w:rsidR="00E31FAB" w:rsidRPr="001745E0" w:rsidRDefault="00E31FAB" w:rsidP="00AA3210">
            <w:pPr>
              <w:spacing w:before="60" w:after="60"/>
              <w:ind w:left="-34"/>
              <w:jc w:val="center"/>
            </w:pPr>
            <w:r w:rsidRPr="001745E0">
              <w:t>0.4430</w:t>
            </w:r>
          </w:p>
        </w:tc>
        <w:tc>
          <w:tcPr>
            <w:tcW w:w="990" w:type="dxa"/>
            <w:hideMark/>
          </w:tcPr>
          <w:p w14:paraId="1FD3CBDD" w14:textId="77777777" w:rsidR="00E31FAB" w:rsidRPr="001745E0" w:rsidRDefault="00E31FAB" w:rsidP="00AA3210">
            <w:pPr>
              <w:spacing w:before="60" w:after="60"/>
              <w:ind w:left="-34"/>
              <w:jc w:val="center"/>
            </w:pPr>
            <w:r w:rsidRPr="001745E0">
              <w:t>0.8130</w:t>
            </w:r>
          </w:p>
        </w:tc>
        <w:tc>
          <w:tcPr>
            <w:tcW w:w="990" w:type="dxa"/>
            <w:hideMark/>
          </w:tcPr>
          <w:p w14:paraId="1B40A9F0" w14:textId="77777777" w:rsidR="00E31FAB" w:rsidRPr="001745E0" w:rsidRDefault="00E31FAB" w:rsidP="00AA3210">
            <w:pPr>
              <w:spacing w:before="60" w:after="60"/>
              <w:ind w:left="-34"/>
              <w:jc w:val="center"/>
            </w:pPr>
            <w:r w:rsidRPr="001745E0">
              <w:t>0.6430</w:t>
            </w:r>
          </w:p>
        </w:tc>
        <w:tc>
          <w:tcPr>
            <w:tcW w:w="990" w:type="dxa"/>
            <w:hideMark/>
          </w:tcPr>
          <w:p w14:paraId="1AC42F10" w14:textId="77777777" w:rsidR="00E31FAB" w:rsidRPr="001745E0" w:rsidRDefault="00E31FAB" w:rsidP="00AA3210">
            <w:pPr>
              <w:spacing w:before="60" w:after="60"/>
              <w:ind w:left="-34"/>
              <w:jc w:val="center"/>
            </w:pPr>
            <w:r w:rsidRPr="001745E0">
              <w:t>1.0000</w:t>
            </w:r>
          </w:p>
        </w:tc>
        <w:tc>
          <w:tcPr>
            <w:tcW w:w="990" w:type="dxa"/>
            <w:hideMark/>
          </w:tcPr>
          <w:p w14:paraId="734E283D" w14:textId="77777777" w:rsidR="00E31FAB" w:rsidRPr="001745E0" w:rsidRDefault="00E31FAB" w:rsidP="00AA3210">
            <w:pPr>
              <w:spacing w:before="60" w:after="60"/>
              <w:ind w:left="-34"/>
              <w:jc w:val="center"/>
            </w:pPr>
            <w:r w:rsidRPr="001745E0">
              <w:t>0.9760</w:t>
            </w:r>
          </w:p>
        </w:tc>
        <w:tc>
          <w:tcPr>
            <w:tcW w:w="990" w:type="dxa"/>
            <w:hideMark/>
          </w:tcPr>
          <w:p w14:paraId="186AAB8A" w14:textId="77777777" w:rsidR="00E31FAB" w:rsidRPr="001745E0" w:rsidRDefault="00E31FAB" w:rsidP="00AA3210">
            <w:pPr>
              <w:spacing w:before="60" w:after="60"/>
              <w:ind w:left="-34"/>
              <w:jc w:val="center"/>
            </w:pPr>
            <w:r w:rsidRPr="001745E0">
              <w:t>0.6360</w:t>
            </w:r>
          </w:p>
        </w:tc>
        <w:tc>
          <w:tcPr>
            <w:tcW w:w="990" w:type="dxa"/>
            <w:hideMark/>
          </w:tcPr>
          <w:p w14:paraId="4F439EE1" w14:textId="77777777" w:rsidR="00E31FAB" w:rsidRPr="001745E0" w:rsidRDefault="00E31FAB" w:rsidP="00AA3210">
            <w:pPr>
              <w:spacing w:before="60" w:after="60"/>
              <w:ind w:left="-34"/>
              <w:jc w:val="center"/>
            </w:pPr>
            <w:r w:rsidRPr="001745E0">
              <w:t>0.3270</w:t>
            </w:r>
          </w:p>
        </w:tc>
      </w:tr>
      <w:tr w:rsidR="00511E18" w:rsidRPr="001745E0" w14:paraId="3B78BCE5" w14:textId="77777777" w:rsidTr="00511E18">
        <w:trPr>
          <w:cnfStyle w:val="000000010000" w:firstRow="0" w:lastRow="0" w:firstColumn="0" w:lastColumn="0" w:oddVBand="0" w:evenVBand="0" w:oddHBand="0" w:evenHBand="1" w:firstRowFirstColumn="0" w:firstRowLastColumn="0" w:lastRowFirstColumn="0" w:lastRowLastColumn="0"/>
          <w:trHeight w:val="342"/>
        </w:trPr>
        <w:tc>
          <w:tcPr>
            <w:tcW w:w="535" w:type="dxa"/>
          </w:tcPr>
          <w:p w14:paraId="6F4ACF2F" w14:textId="77777777" w:rsidR="00E31FAB" w:rsidRPr="001745E0" w:rsidRDefault="00E31FAB" w:rsidP="00E31FAB">
            <w:pPr>
              <w:spacing w:before="60" w:after="60"/>
              <w:ind w:left="-38"/>
            </w:pPr>
            <w:r w:rsidRPr="001745E0">
              <w:t>416</w:t>
            </w:r>
          </w:p>
        </w:tc>
        <w:tc>
          <w:tcPr>
            <w:tcW w:w="3150" w:type="dxa"/>
          </w:tcPr>
          <w:p w14:paraId="23FB30A4" w14:textId="77777777" w:rsidR="00E31FAB" w:rsidRPr="001745E0" w:rsidRDefault="00E31FAB" w:rsidP="00E31FAB">
            <w:pPr>
              <w:spacing w:before="60" w:after="60"/>
              <w:ind w:left="-38"/>
            </w:pPr>
            <w:r w:rsidRPr="001745E0">
              <w:t>SEVERELY MULTIPLY IMPAIRED</w:t>
            </w:r>
          </w:p>
        </w:tc>
        <w:tc>
          <w:tcPr>
            <w:tcW w:w="990" w:type="dxa"/>
            <w:hideMark/>
          </w:tcPr>
          <w:p w14:paraId="7685D313" w14:textId="77777777" w:rsidR="00E31FAB" w:rsidRPr="001745E0" w:rsidRDefault="00E31FAB" w:rsidP="00AA3210">
            <w:pPr>
              <w:spacing w:before="60" w:after="60"/>
              <w:ind w:left="-34"/>
              <w:jc w:val="center"/>
            </w:pPr>
            <w:r w:rsidRPr="001745E0">
              <w:t>0.1860</w:t>
            </w:r>
          </w:p>
        </w:tc>
        <w:tc>
          <w:tcPr>
            <w:tcW w:w="990" w:type="dxa"/>
            <w:hideMark/>
          </w:tcPr>
          <w:p w14:paraId="06FF7565" w14:textId="77777777" w:rsidR="00E31FAB" w:rsidRPr="001745E0" w:rsidRDefault="00E31FAB" w:rsidP="00AA3210">
            <w:pPr>
              <w:spacing w:before="60" w:after="60"/>
              <w:ind w:left="-34"/>
              <w:jc w:val="center"/>
            </w:pPr>
            <w:r w:rsidRPr="001745E0">
              <w:t>0.4730</w:t>
            </w:r>
          </w:p>
        </w:tc>
        <w:tc>
          <w:tcPr>
            <w:tcW w:w="990" w:type="dxa"/>
            <w:hideMark/>
          </w:tcPr>
          <w:p w14:paraId="11474FFA" w14:textId="77777777" w:rsidR="00E31FAB" w:rsidRPr="001745E0" w:rsidRDefault="00E31FAB" w:rsidP="00AA3210">
            <w:pPr>
              <w:spacing w:before="60" w:after="60"/>
              <w:ind w:left="-34"/>
              <w:jc w:val="center"/>
            </w:pPr>
            <w:r w:rsidRPr="001745E0">
              <w:t>0.9740</w:t>
            </w:r>
          </w:p>
        </w:tc>
        <w:tc>
          <w:tcPr>
            <w:tcW w:w="990" w:type="dxa"/>
            <w:hideMark/>
          </w:tcPr>
          <w:p w14:paraId="77D3EAB5" w14:textId="77777777" w:rsidR="00E31FAB" w:rsidRPr="001745E0" w:rsidRDefault="00E31FAB" w:rsidP="00AA3210">
            <w:pPr>
              <w:spacing w:before="60" w:after="60"/>
              <w:ind w:left="-34"/>
              <w:jc w:val="center"/>
            </w:pPr>
            <w:r w:rsidRPr="001745E0">
              <w:t>1.0300</w:t>
            </w:r>
          </w:p>
        </w:tc>
        <w:tc>
          <w:tcPr>
            <w:tcW w:w="990" w:type="dxa"/>
            <w:hideMark/>
          </w:tcPr>
          <w:p w14:paraId="17E00722" w14:textId="77777777" w:rsidR="00E31FAB" w:rsidRPr="001745E0" w:rsidRDefault="00E31FAB" w:rsidP="00AA3210">
            <w:pPr>
              <w:spacing w:before="60" w:after="60"/>
              <w:ind w:left="-34"/>
              <w:jc w:val="center"/>
            </w:pPr>
            <w:r w:rsidRPr="001745E0">
              <w:t>1.0000</w:t>
            </w:r>
          </w:p>
        </w:tc>
        <w:tc>
          <w:tcPr>
            <w:tcW w:w="990" w:type="dxa"/>
            <w:hideMark/>
          </w:tcPr>
          <w:p w14:paraId="087E740E" w14:textId="77777777" w:rsidR="00E31FAB" w:rsidRPr="001745E0" w:rsidRDefault="00E31FAB" w:rsidP="00AA3210">
            <w:pPr>
              <w:spacing w:before="60" w:after="60"/>
              <w:ind w:left="-34"/>
              <w:jc w:val="center"/>
            </w:pPr>
            <w:r w:rsidRPr="001745E0">
              <w:t>0.7620</w:t>
            </w:r>
          </w:p>
        </w:tc>
        <w:tc>
          <w:tcPr>
            <w:tcW w:w="990" w:type="dxa"/>
            <w:hideMark/>
          </w:tcPr>
          <w:p w14:paraId="7636E23F" w14:textId="77777777" w:rsidR="00E31FAB" w:rsidRPr="001745E0" w:rsidRDefault="00E31FAB" w:rsidP="00AA3210">
            <w:pPr>
              <w:spacing w:before="60" w:after="60"/>
              <w:ind w:left="-34"/>
              <w:jc w:val="center"/>
            </w:pPr>
            <w:r w:rsidRPr="001745E0">
              <w:t>1.0000</w:t>
            </w:r>
          </w:p>
        </w:tc>
        <w:tc>
          <w:tcPr>
            <w:tcW w:w="990" w:type="dxa"/>
            <w:hideMark/>
          </w:tcPr>
          <w:p w14:paraId="32928EB0" w14:textId="77777777" w:rsidR="00E31FAB" w:rsidRPr="001745E0" w:rsidRDefault="00E31FAB" w:rsidP="00AA3210">
            <w:pPr>
              <w:spacing w:before="60" w:after="60"/>
              <w:ind w:left="-34"/>
              <w:jc w:val="center"/>
            </w:pPr>
            <w:r w:rsidRPr="001745E0">
              <w:t>0.1740</w:t>
            </w:r>
          </w:p>
        </w:tc>
      </w:tr>
    </w:tbl>
    <w:p w14:paraId="21F3778F" w14:textId="77777777" w:rsidR="001745E0" w:rsidRDefault="001745E0" w:rsidP="00901E5C"/>
    <w:p w14:paraId="143E5EAD" w14:textId="77777777" w:rsidR="00AA211F" w:rsidRDefault="00AA211F" w:rsidP="00901E5C">
      <w:pPr>
        <w:sectPr w:rsidR="00AA211F" w:rsidSect="001745E0">
          <w:type w:val="continuous"/>
          <w:pgSz w:w="12240" w:h="15840" w:code="1"/>
          <w:pgMar w:top="720" w:right="432" w:bottom="720" w:left="288" w:header="0" w:footer="144" w:gutter="0"/>
          <w:cols w:space="720"/>
          <w:docGrid w:linePitch="326"/>
        </w:sectPr>
      </w:pPr>
    </w:p>
    <w:p w14:paraId="37C2CF64" w14:textId="77777777" w:rsidR="00A44F09" w:rsidRDefault="00901E5C" w:rsidP="00901E5C">
      <w:r>
        <w:lastRenderedPageBreak/>
        <w:t xml:space="preserve">The tuition billing system uses the number of instructional days and length of a school day </w:t>
      </w:r>
      <w:r w:rsidR="00F434AF">
        <w:t xml:space="preserve">(based on site and grade level) and the enrollment percent </w:t>
      </w:r>
      <w:r>
        <w:t xml:space="preserve">reported on the MARSS School File (A File) to calculate the number of membership hours in a school year.  </w:t>
      </w:r>
    </w:p>
    <w:p w14:paraId="479B002D" w14:textId="77777777" w:rsidR="00901E5C" w:rsidRDefault="00901E5C" w:rsidP="00901E5C">
      <w:r>
        <w:t xml:space="preserve">The formula to determine the total special education service hours </w:t>
      </w:r>
      <w:r w:rsidR="00FB73AF">
        <w:t xml:space="preserve">using midpoints </w:t>
      </w:r>
      <w:r>
        <w:t>is:</w:t>
      </w:r>
    </w:p>
    <w:p w14:paraId="206297D0" w14:textId="77777777" w:rsidR="00901E5C" w:rsidRDefault="00901E5C" w:rsidP="00901E5C">
      <w:pPr>
        <w:ind w:left="450"/>
      </w:pPr>
      <w:r>
        <w:t>Membe</w:t>
      </w:r>
      <w:r w:rsidR="003F4AD2">
        <w:t xml:space="preserve">rship hours </w:t>
      </w:r>
      <w:r w:rsidR="00F434AF">
        <w:t xml:space="preserve">X </w:t>
      </w:r>
      <w:r w:rsidR="003F4AD2">
        <w:t xml:space="preserve">midpoint (instructional </w:t>
      </w:r>
      <w:r>
        <w:t>setting and disability) = special education service hours.</w:t>
      </w:r>
    </w:p>
    <w:p w14:paraId="0166DBC3" w14:textId="77777777" w:rsidR="003F4AD2" w:rsidRDefault="00901E5C" w:rsidP="00901E5C">
      <w:r>
        <w:t xml:space="preserve">Example:  </w:t>
      </w:r>
      <w:r w:rsidR="00F434AF">
        <w:t>The</w:t>
      </w:r>
      <w:r>
        <w:t xml:space="preserve"> MARSS record indicates that </w:t>
      </w:r>
      <w:r w:rsidR="00F434AF">
        <w:t>a</w:t>
      </w:r>
      <w:r w:rsidR="00FB73AF">
        <w:t xml:space="preserve"> student</w:t>
      </w:r>
      <w:r w:rsidR="00F434AF">
        <w:t xml:space="preserve">’s </w:t>
      </w:r>
      <w:r w:rsidR="00056713">
        <w:t>total instructional hours for the year is 1,026 (and based on the student’s grade level and school site). Their enrollment percentage is 50 percent.</w:t>
      </w:r>
    </w:p>
    <w:p w14:paraId="6209691B" w14:textId="77777777" w:rsidR="003F4AD2" w:rsidRDefault="003F4AD2" w:rsidP="003F4AD2">
      <w:pPr>
        <w:spacing w:before="0" w:after="0" w:line="240" w:lineRule="auto"/>
      </w:pPr>
      <w:r>
        <w:t>A student’</w:t>
      </w:r>
      <w:r w:rsidR="0097774D">
        <w:t>s</w:t>
      </w:r>
      <w:r w:rsidR="008B5DE1">
        <w:t xml:space="preserve"> membership</w:t>
      </w:r>
      <w:r w:rsidR="0097774D">
        <w:t xml:space="preserve"> hours in a school year is </w:t>
      </w:r>
      <w:r w:rsidR="00056713">
        <w:t>513</w:t>
      </w:r>
      <w:r>
        <w:t>;</w:t>
      </w:r>
    </w:p>
    <w:p w14:paraId="1E122387" w14:textId="77777777" w:rsidR="003F4AD2" w:rsidRDefault="00BC55AF" w:rsidP="003F4AD2">
      <w:pPr>
        <w:spacing w:before="0" w:after="0" w:line="240" w:lineRule="auto"/>
      </w:pPr>
      <w:r>
        <w:t>I</w:t>
      </w:r>
      <w:r w:rsidR="003F4AD2">
        <w:t>nstructional setting is 2;</w:t>
      </w:r>
    </w:p>
    <w:p w14:paraId="38E9B481" w14:textId="77777777" w:rsidR="003F4AD2" w:rsidRDefault="00AD31AC" w:rsidP="003F4AD2">
      <w:pPr>
        <w:spacing w:before="0" w:after="0" w:line="240" w:lineRule="auto"/>
      </w:pPr>
      <w:r>
        <w:t>Disability is 408</w:t>
      </w:r>
      <w:r w:rsidR="003F4AD2">
        <w:t>;</w:t>
      </w:r>
    </w:p>
    <w:p w14:paraId="78BE971F" w14:textId="77777777" w:rsidR="00E7358D" w:rsidRDefault="00FB73AF" w:rsidP="003F4AD2">
      <w:pPr>
        <w:spacing w:before="0" w:after="0" w:line="240" w:lineRule="auto"/>
      </w:pPr>
      <w:r>
        <w:t>(</w:t>
      </w:r>
      <w:r w:rsidR="00056713">
        <w:t>513</w:t>
      </w:r>
      <w:r>
        <w:t xml:space="preserve"> </w:t>
      </w:r>
      <w:r w:rsidR="003F4AD2">
        <w:t xml:space="preserve">X </w:t>
      </w:r>
      <w:r w:rsidR="00AD31AC">
        <w:t>0.409</w:t>
      </w:r>
      <w:r w:rsidR="0097774D">
        <w:t>0</w:t>
      </w:r>
      <w:r>
        <w:t>)</w:t>
      </w:r>
      <w:r w:rsidR="00AD31AC">
        <w:t xml:space="preserve"> = 209.817</w:t>
      </w:r>
      <w:r w:rsidR="003F4AD2">
        <w:t xml:space="preserve"> special education service hours</w:t>
      </w:r>
      <w:r w:rsidR="00901E5C">
        <w:t xml:space="preserve"> </w:t>
      </w:r>
    </w:p>
    <w:p w14:paraId="42B86D6F" w14:textId="77777777" w:rsidR="003F4AD2" w:rsidRDefault="003F4AD2" w:rsidP="003F4AD2">
      <w:pPr>
        <w:spacing w:before="0" w:after="0" w:line="240" w:lineRule="auto"/>
      </w:pPr>
    </w:p>
    <w:sectPr w:rsidR="003F4AD2" w:rsidSect="00AA211F">
      <w:type w:val="continuous"/>
      <w:pgSz w:w="12240" w:h="15840" w:code="1"/>
      <w:pgMar w:top="1440" w:right="864" w:bottom="720" w:left="864"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97EA" w14:textId="77777777" w:rsidR="009B69EF" w:rsidRDefault="009B69EF" w:rsidP="00D91FF4">
      <w:r>
        <w:separator/>
      </w:r>
    </w:p>
  </w:endnote>
  <w:endnote w:type="continuationSeparator" w:id="0">
    <w:p w14:paraId="4877F632" w14:textId="77777777" w:rsidR="009B69EF" w:rsidRDefault="009B69E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77095"/>
      <w:docPartObj>
        <w:docPartGallery w:val="Page Numbers (Bottom of Page)"/>
        <w:docPartUnique/>
      </w:docPartObj>
    </w:sdtPr>
    <w:sdtEndPr>
      <w:rPr>
        <w:color w:val="7F7F7F" w:themeColor="background1" w:themeShade="7F"/>
        <w:spacing w:val="60"/>
      </w:rPr>
    </w:sdtEndPr>
    <w:sdtContent>
      <w:p w14:paraId="3020BBD3" w14:textId="77777777" w:rsidR="00AA211F" w:rsidRDefault="00AA211F" w:rsidP="00AA211F">
        <w:pPr>
          <w:pStyle w:val="Footer"/>
          <w:pBdr>
            <w:top w:val="single" w:sz="4" w:space="1" w:color="D9D9D9" w:themeColor="background1" w:themeShade="D9"/>
          </w:pBdr>
          <w:tabs>
            <w:tab w:val="clear" w:pos="10080"/>
            <w:tab w:val="left" w:pos="5850"/>
            <w:tab w:val="left" w:pos="6240"/>
            <w:tab w:val="right" w:pos="10512"/>
          </w:tabs>
          <w:ind w:left="360"/>
        </w:pPr>
        <w:r w:rsidRPr="00AA211F">
          <w:t>Midpoints to Determine Special Education Services Hours</w:t>
        </w:r>
        <w:r>
          <w:tab/>
        </w:r>
        <w:r>
          <w:tab/>
        </w:r>
        <w:r>
          <w:tab/>
        </w:r>
        <w:r>
          <w:fldChar w:fldCharType="begin"/>
        </w:r>
        <w:r>
          <w:instrText xml:space="preserve"> PAGE   \* MERGEFORMAT </w:instrText>
        </w:r>
        <w:r>
          <w:fldChar w:fldCharType="separate"/>
        </w:r>
        <w:r w:rsidR="00AD31AC">
          <w:rPr>
            <w:noProof/>
          </w:rPr>
          <w:t>2</w:t>
        </w:r>
        <w:r>
          <w:rPr>
            <w:noProof/>
          </w:rPr>
          <w:fldChar w:fldCharType="end"/>
        </w:r>
        <w:r>
          <w:t xml:space="preserve"> | </w:t>
        </w:r>
        <w:r>
          <w:rPr>
            <w:color w:val="7F7F7F" w:themeColor="background1" w:themeShade="7F"/>
            <w:spacing w:val="60"/>
          </w:rPr>
          <w:t>Page</w:t>
        </w:r>
      </w:p>
    </w:sdtContent>
  </w:sdt>
  <w:p w14:paraId="72D26D8F" w14:textId="77777777" w:rsidR="00AB5969" w:rsidRDefault="00AB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5605"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7D45" w14:textId="77777777" w:rsidR="009B69EF" w:rsidRDefault="009B69EF" w:rsidP="00D91FF4">
      <w:r>
        <w:separator/>
      </w:r>
    </w:p>
  </w:footnote>
  <w:footnote w:type="continuationSeparator" w:id="0">
    <w:p w14:paraId="36A9AFAB" w14:textId="77777777" w:rsidR="009B69EF" w:rsidRDefault="009B69E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24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9D"/>
    <w:rsid w:val="000003C4"/>
    <w:rsid w:val="00002DEC"/>
    <w:rsid w:val="000065AC"/>
    <w:rsid w:val="00006A0A"/>
    <w:rsid w:val="00021F9D"/>
    <w:rsid w:val="00040C79"/>
    <w:rsid w:val="00056713"/>
    <w:rsid w:val="0005766D"/>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745E0"/>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7D82"/>
    <w:rsid w:val="003C03D3"/>
    <w:rsid w:val="003C3F9D"/>
    <w:rsid w:val="003C4644"/>
    <w:rsid w:val="003C5BE3"/>
    <w:rsid w:val="003F4AD2"/>
    <w:rsid w:val="003F5F5F"/>
    <w:rsid w:val="00413A7C"/>
    <w:rsid w:val="004141DD"/>
    <w:rsid w:val="00443DC4"/>
    <w:rsid w:val="00451FEF"/>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1E18"/>
    <w:rsid w:val="0051303B"/>
    <w:rsid w:val="00514788"/>
    <w:rsid w:val="0054371B"/>
    <w:rsid w:val="0056615E"/>
    <w:rsid w:val="005666F2"/>
    <w:rsid w:val="0057515F"/>
    <w:rsid w:val="005764FB"/>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55C7"/>
    <w:rsid w:val="007E685C"/>
    <w:rsid w:val="007F6108"/>
    <w:rsid w:val="007F7097"/>
    <w:rsid w:val="00806678"/>
    <w:rsid w:val="008067A6"/>
    <w:rsid w:val="008140CC"/>
    <w:rsid w:val="008251B3"/>
    <w:rsid w:val="00844F1D"/>
    <w:rsid w:val="00845426"/>
    <w:rsid w:val="0084731A"/>
    <w:rsid w:val="0084749F"/>
    <w:rsid w:val="00864202"/>
    <w:rsid w:val="008B5443"/>
    <w:rsid w:val="008B5DE1"/>
    <w:rsid w:val="008B7A1E"/>
    <w:rsid w:val="008C7EEB"/>
    <w:rsid w:val="008D0DEF"/>
    <w:rsid w:val="008D2256"/>
    <w:rsid w:val="008D5E3D"/>
    <w:rsid w:val="008E09D4"/>
    <w:rsid w:val="008F7133"/>
    <w:rsid w:val="00901E5C"/>
    <w:rsid w:val="00905BC6"/>
    <w:rsid w:val="0090737A"/>
    <w:rsid w:val="0094786F"/>
    <w:rsid w:val="0096108C"/>
    <w:rsid w:val="00963BA0"/>
    <w:rsid w:val="00967764"/>
    <w:rsid w:val="0097774D"/>
    <w:rsid w:val="009810EE"/>
    <w:rsid w:val="009837DB"/>
    <w:rsid w:val="00984CC9"/>
    <w:rsid w:val="00990E51"/>
    <w:rsid w:val="00991ED5"/>
    <w:rsid w:val="0099233F"/>
    <w:rsid w:val="009B54A0"/>
    <w:rsid w:val="009B69EF"/>
    <w:rsid w:val="009C6405"/>
    <w:rsid w:val="009F6B2C"/>
    <w:rsid w:val="009F6D79"/>
    <w:rsid w:val="00A30799"/>
    <w:rsid w:val="00A4229F"/>
    <w:rsid w:val="00A44F09"/>
    <w:rsid w:val="00A476C1"/>
    <w:rsid w:val="00A57FE8"/>
    <w:rsid w:val="00A64ECE"/>
    <w:rsid w:val="00A66185"/>
    <w:rsid w:val="00A71CAD"/>
    <w:rsid w:val="00A731A2"/>
    <w:rsid w:val="00A827B0"/>
    <w:rsid w:val="00A827C1"/>
    <w:rsid w:val="00A835DA"/>
    <w:rsid w:val="00A92AFF"/>
    <w:rsid w:val="00A93F40"/>
    <w:rsid w:val="00A96F93"/>
    <w:rsid w:val="00AA211F"/>
    <w:rsid w:val="00AA3210"/>
    <w:rsid w:val="00AB1F46"/>
    <w:rsid w:val="00AB5969"/>
    <w:rsid w:val="00AB65FF"/>
    <w:rsid w:val="00AD122F"/>
    <w:rsid w:val="00AD31AC"/>
    <w:rsid w:val="00AD39DA"/>
    <w:rsid w:val="00AD5DFE"/>
    <w:rsid w:val="00AE5772"/>
    <w:rsid w:val="00AF22AD"/>
    <w:rsid w:val="00AF5107"/>
    <w:rsid w:val="00AF6C27"/>
    <w:rsid w:val="00B06264"/>
    <w:rsid w:val="00B07C8F"/>
    <w:rsid w:val="00B275D4"/>
    <w:rsid w:val="00B37915"/>
    <w:rsid w:val="00B437C8"/>
    <w:rsid w:val="00B61640"/>
    <w:rsid w:val="00B75051"/>
    <w:rsid w:val="00B77CC5"/>
    <w:rsid w:val="00B859DE"/>
    <w:rsid w:val="00BC55AF"/>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29C1"/>
    <w:rsid w:val="00E23397"/>
    <w:rsid w:val="00E31FAB"/>
    <w:rsid w:val="00E32CD7"/>
    <w:rsid w:val="00E37DF5"/>
    <w:rsid w:val="00E44EE1"/>
    <w:rsid w:val="00E5241D"/>
    <w:rsid w:val="00E55EE8"/>
    <w:rsid w:val="00E5680C"/>
    <w:rsid w:val="00E61A16"/>
    <w:rsid w:val="00E7358D"/>
    <w:rsid w:val="00E76267"/>
    <w:rsid w:val="00E81FF3"/>
    <w:rsid w:val="00EA535B"/>
    <w:rsid w:val="00EC579D"/>
    <w:rsid w:val="00ED5BDC"/>
    <w:rsid w:val="00ED7DAC"/>
    <w:rsid w:val="00F067A6"/>
    <w:rsid w:val="00F107EA"/>
    <w:rsid w:val="00F20B25"/>
    <w:rsid w:val="00F212F3"/>
    <w:rsid w:val="00F278C3"/>
    <w:rsid w:val="00F3338D"/>
    <w:rsid w:val="00F434AF"/>
    <w:rsid w:val="00F70C03"/>
    <w:rsid w:val="00F9084A"/>
    <w:rsid w:val="00FB54B8"/>
    <w:rsid w:val="00FB6E40"/>
    <w:rsid w:val="00FB73AF"/>
    <w:rsid w:val="00FD1CCB"/>
    <w:rsid w:val="00FD5BF8"/>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D276D"/>
  <w15:chartTrackingRefBased/>
  <w15:docId w15:val="{4CD8676E-ED44-45F6-8926-87241CA1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3C3F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C3F9D"/>
  </w:style>
  <w:style w:type="table" w:styleId="TableGridLight">
    <w:name w:val="Grid Table Light"/>
    <w:basedOn w:val="TableNormal"/>
    <w:uiPriority w:val="40"/>
    <w:rsid w:val="00901E5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01E5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1E5C"/>
    <w:pPr>
      <w:spacing w:line="240" w:lineRule="auto"/>
    </w:pPr>
    <w:tblPr>
      <w:tblStyleRowBandSize w:val="1"/>
      <w:tblStyleColBandSize w:val="1"/>
      <w:tblBorders>
        <w:top w:val="single" w:sz="4" w:space="0" w:color="31A3FF" w:themeColor="text1" w:themeTint="80"/>
        <w:bottom w:val="single" w:sz="4" w:space="0" w:color="31A3FF" w:themeColor="text1" w:themeTint="80"/>
      </w:tblBorders>
    </w:tblPr>
    <w:tblStylePr w:type="firstRow">
      <w:rPr>
        <w:b/>
        <w:bCs/>
      </w:rPr>
      <w:tblPr/>
      <w:tcPr>
        <w:tcBorders>
          <w:bottom w:val="single" w:sz="4" w:space="0" w:color="31A3FF" w:themeColor="text1" w:themeTint="80"/>
        </w:tcBorders>
      </w:tcPr>
    </w:tblStylePr>
    <w:tblStylePr w:type="lastRow">
      <w:rPr>
        <w:b/>
        <w:bCs/>
      </w:rPr>
      <w:tblPr/>
      <w:tcPr>
        <w:tcBorders>
          <w:top w:val="single" w:sz="4" w:space="0" w:color="31A3FF" w:themeColor="text1" w:themeTint="80"/>
        </w:tcBorders>
      </w:tcPr>
    </w:tblStylePr>
    <w:tblStylePr w:type="firstCol">
      <w:rPr>
        <w:b/>
        <w:bCs/>
      </w:rPr>
    </w:tblStylePr>
    <w:tblStylePr w:type="lastCol">
      <w:rPr>
        <w:b/>
        <w:bCs/>
      </w:rPr>
    </w:tblStylePr>
    <w:tblStylePr w:type="band1Vert">
      <w:tblPr/>
      <w:tcPr>
        <w:tcBorders>
          <w:left w:val="single" w:sz="4" w:space="0" w:color="31A3FF" w:themeColor="text1" w:themeTint="80"/>
          <w:right w:val="single" w:sz="4" w:space="0" w:color="31A3FF" w:themeColor="text1" w:themeTint="80"/>
        </w:tcBorders>
      </w:tcPr>
    </w:tblStylePr>
    <w:tblStylePr w:type="band2Vert">
      <w:tblPr/>
      <w:tcPr>
        <w:tcBorders>
          <w:left w:val="single" w:sz="4" w:space="0" w:color="31A3FF" w:themeColor="text1" w:themeTint="80"/>
          <w:right w:val="single" w:sz="4" w:space="0" w:color="31A3FF" w:themeColor="text1" w:themeTint="80"/>
        </w:tcBorders>
      </w:tcPr>
    </w:tblStylePr>
    <w:tblStylePr w:type="band1Horz">
      <w:tblPr/>
      <w:tcPr>
        <w:tcBorders>
          <w:top w:val="single" w:sz="4" w:space="0" w:color="31A3FF" w:themeColor="text1" w:themeTint="80"/>
          <w:bottom w:val="single" w:sz="4" w:space="0" w:color="31A3FF" w:themeColor="text1" w:themeTint="80"/>
        </w:tcBorders>
      </w:tcPr>
    </w:tblStylePr>
  </w:style>
  <w:style w:type="table" w:styleId="PlainTable4">
    <w:name w:val="Plain Table 4"/>
    <w:basedOn w:val="TableNormal"/>
    <w:uiPriority w:val="44"/>
    <w:rsid w:val="00901E5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01E5C"/>
    <w:pPr>
      <w:spacing w:line="240" w:lineRule="auto"/>
    </w:pPr>
    <w:tblPr>
      <w:tblStyleRowBandSize w:val="1"/>
      <w:tblStyleColBandSize w:val="1"/>
      <w:tblBorders>
        <w:top w:val="single" w:sz="4" w:space="0" w:color="5BB5FF" w:themeColor="text1" w:themeTint="66"/>
        <w:left w:val="single" w:sz="4" w:space="0" w:color="5BB5FF" w:themeColor="text1" w:themeTint="66"/>
        <w:bottom w:val="single" w:sz="4" w:space="0" w:color="5BB5FF" w:themeColor="text1" w:themeTint="66"/>
        <w:right w:val="single" w:sz="4" w:space="0" w:color="5BB5FF" w:themeColor="text1" w:themeTint="66"/>
        <w:insideH w:val="single" w:sz="4" w:space="0" w:color="5BB5FF" w:themeColor="text1" w:themeTint="66"/>
        <w:insideV w:val="single" w:sz="4" w:space="0" w:color="5BB5FF" w:themeColor="text1" w:themeTint="66"/>
      </w:tblBorders>
    </w:tblPr>
    <w:tblStylePr w:type="firstRow">
      <w:rPr>
        <w:b/>
        <w:bCs/>
      </w:rPr>
      <w:tblPr/>
      <w:tcPr>
        <w:tcBorders>
          <w:bottom w:val="single" w:sz="12" w:space="0" w:color="0991FF" w:themeColor="text1" w:themeTint="99"/>
        </w:tcBorders>
      </w:tcPr>
    </w:tblStylePr>
    <w:tblStylePr w:type="lastRow">
      <w:rPr>
        <w:b/>
        <w:bCs/>
      </w:rPr>
      <w:tblPr/>
      <w:tcPr>
        <w:tcBorders>
          <w:top w:val="double" w:sz="2" w:space="0" w:color="0991F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629014969">
      <w:bodyDiv w:val="1"/>
      <w:marLeft w:val="0"/>
      <w:marRight w:val="0"/>
      <w:marTop w:val="0"/>
      <w:marBottom w:val="0"/>
      <w:divBdr>
        <w:top w:val="none" w:sz="0" w:space="0" w:color="auto"/>
        <w:left w:val="none" w:sz="0" w:space="0" w:color="auto"/>
        <w:bottom w:val="none" w:sz="0" w:space="0" w:color="auto"/>
        <w:right w:val="none" w:sz="0" w:space="0" w:color="auto"/>
      </w:divBdr>
    </w:div>
    <w:div w:id="1374769725">
      <w:bodyDiv w:val="1"/>
      <w:marLeft w:val="0"/>
      <w:marRight w:val="0"/>
      <w:marTop w:val="0"/>
      <w:marBottom w:val="0"/>
      <w:divBdr>
        <w:top w:val="none" w:sz="0" w:space="0" w:color="auto"/>
        <w:left w:val="none" w:sz="0" w:space="0" w:color="auto"/>
        <w:bottom w:val="none" w:sz="0" w:space="0" w:color="auto"/>
        <w:right w:val="none" w:sz="0" w:space="0" w:color="auto"/>
      </w:divBdr>
    </w:div>
    <w:div w:id="21439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F8498B-5486-B447-913A-3D5419CE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17-18 Means by Disability and Instructional Setting</vt:lpstr>
    </vt:vector>
  </TitlesOfParts>
  <Company>Minnesota Department of Education</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 Means by Disability and Instructional Setting</dc:title>
  <dc:subject/>
  <dc:creator>Minnesota Department of Education</dc:creator>
  <cp:keywords/>
  <dc:description/>
  <cp:lastModifiedBy>Jeanna Vohnoutka</cp:lastModifiedBy>
  <cp:revision>2</cp:revision>
  <dcterms:created xsi:type="dcterms:W3CDTF">2019-12-09T16:50:00Z</dcterms:created>
  <dcterms:modified xsi:type="dcterms:W3CDTF">2019-12-09T16:50:00Z</dcterms:modified>
</cp:coreProperties>
</file>