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444" w:rsidRPr="00212CFD" w:rsidRDefault="00793BE1" w:rsidP="00212CFD">
          <w:pPr>
            <w:pStyle w:val="Heading1"/>
          </w:pPr>
          <w:r w:rsidRPr="00212CFD">
            <w:t>Resources to Support Your Work</w:t>
          </w:r>
        </w:p>
        <w:p w:rsidR="00212CFD" w:rsidRPr="00212CFD" w:rsidRDefault="00212CFD" w:rsidP="00212CFD">
          <w:pPr>
            <w:rPr>
              <w:rFonts w:asciiTheme="minorHAns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/>
              <w:sz w:val="24"/>
              <w:szCs w:val="24"/>
              <w:lang w:bidi="ar-SA"/>
            </w:rPr>
            <w:t>Open Enrollment Applications for ECSE/K-12</w:t>
          </w:r>
          <w:r w:rsidR="005A7572">
            <w:rPr>
              <w:rFonts w:asciiTheme="minorHAnsi" w:hAnsiTheme="minorHAnsi"/>
              <w:b/>
              <w:sz w:val="24"/>
              <w:szCs w:val="24"/>
              <w:lang w:bidi="ar-SA"/>
            </w:rPr>
            <w:t xml:space="preserve"> and </w:t>
          </w:r>
          <w:r w:rsidRPr="00212CFD">
            <w:rPr>
              <w:rFonts w:asciiTheme="minorHAnsi" w:hAnsiTheme="minorHAnsi"/>
              <w:b/>
              <w:sz w:val="24"/>
              <w:szCs w:val="24"/>
              <w:lang w:bidi="ar-SA"/>
            </w:rPr>
            <w:t>Voluntary Pre-kindergarten/School Readiness Plus</w:t>
          </w:r>
        </w:p>
        <w:p w:rsidR="00212CFD" w:rsidRPr="00212CFD" w:rsidRDefault="008D7EBF" w:rsidP="00212CFD">
          <w:p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hyperlink r:id="rId13" w:history="1">
            <w:r w:rsidR="00212CFD" w:rsidRPr="00212CFD">
              <w:rPr>
                <w:rStyle w:val="Hyperlink"/>
                <w:rFonts w:asciiTheme="minorHAnsi" w:hAnsiTheme="minorHAnsi"/>
                <w:bCs/>
                <w:sz w:val="24"/>
                <w:szCs w:val="24"/>
                <w:lang w:bidi="ar-SA"/>
              </w:rPr>
              <w:t>https://education.mn.gov/MDE/fam/open/</w:t>
            </w:r>
          </w:hyperlink>
        </w:p>
        <w:p w:rsidR="00212CFD" w:rsidRDefault="00212CFD" w:rsidP="00212CFD">
          <w:pPr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>Voluntary Prekindergarten Guidance</w:t>
          </w:r>
        </w:p>
        <w:p w:rsidR="00212CFD" w:rsidRPr="005A7572" w:rsidRDefault="00212CFD" w:rsidP="005A7572">
          <w:pPr>
            <w:pStyle w:val="ListParagraph"/>
            <w:numPr>
              <w:ilvl w:val="0"/>
              <w:numId w:val="36"/>
            </w:num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r w:rsidRPr="005A7572">
            <w:rPr>
              <w:rFonts w:asciiTheme="minorHAnsi" w:hAnsiTheme="minorHAnsi"/>
              <w:bCs/>
              <w:sz w:val="24"/>
              <w:szCs w:val="24"/>
              <w:lang w:bidi="ar-SA"/>
            </w:rPr>
            <w:t xml:space="preserve">General Guidance: </w:t>
          </w:r>
          <w:hyperlink r:id="rId14" w:history="1">
            <w:r w:rsidRPr="005A7572">
              <w:rPr>
                <w:rStyle w:val="Hyperlink"/>
                <w:rFonts w:asciiTheme="minorHAnsi" w:hAnsiTheme="minorHAnsi"/>
                <w:bCs/>
                <w:sz w:val="24"/>
                <w:szCs w:val="24"/>
                <w:lang w:bidi="ar-SA"/>
              </w:rPr>
              <w:t>https://education.mn.gov/MDE/dse/early/vpk/</w:t>
            </w:r>
          </w:hyperlink>
        </w:p>
        <w:p w:rsidR="00212CFD" w:rsidRPr="005A7572" w:rsidRDefault="00212CFD" w:rsidP="005A7572">
          <w:pPr>
            <w:pStyle w:val="ListParagraph"/>
            <w:numPr>
              <w:ilvl w:val="0"/>
              <w:numId w:val="36"/>
            </w:num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r w:rsidRPr="005A7572">
            <w:rPr>
              <w:rFonts w:asciiTheme="minorHAnsi" w:hAnsiTheme="minorHAnsi"/>
              <w:bCs/>
              <w:sz w:val="24"/>
              <w:szCs w:val="24"/>
              <w:lang w:bidi="ar-SA"/>
            </w:rPr>
            <w:t xml:space="preserve">Resources for funded programs: </w:t>
          </w:r>
          <w:hyperlink r:id="rId15" w:history="1">
            <w:r w:rsidRPr="005A7572">
              <w:rPr>
                <w:rStyle w:val="Hyperlink"/>
                <w:rFonts w:asciiTheme="minorHAnsi" w:hAnsiTheme="minorHAnsi"/>
                <w:bCs/>
                <w:sz w:val="24"/>
                <w:szCs w:val="24"/>
                <w:lang w:bidi="ar-SA"/>
              </w:rPr>
              <w:t>https://education.mn.gov/MDE/dse/early/vpk/res/</w:t>
            </w:r>
          </w:hyperlink>
        </w:p>
        <w:p w:rsidR="00212CFD" w:rsidRDefault="005A7572" w:rsidP="00212CFD">
          <w:pPr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</w:pPr>
          <w:r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 xml:space="preserve">MDE Clarification Memo on Contracted Student Placements </w:t>
          </w:r>
        </w:p>
        <w:p w:rsidR="005A7572" w:rsidRPr="005A7572" w:rsidRDefault="008D7EBF" w:rsidP="00212CFD">
          <w:p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hyperlink r:id="rId16" w:history="1">
            <w:r w:rsidR="005A7572" w:rsidRPr="005A7572">
              <w:rPr>
                <w:rStyle w:val="Hyperlink"/>
                <w:rFonts w:asciiTheme="minorHAnsi" w:hAnsiTheme="minorHAnsi"/>
                <w:bCs/>
                <w:sz w:val="24"/>
                <w:szCs w:val="24"/>
                <w:lang w:bidi="ar-SA"/>
              </w:rPr>
              <w:t>https://education.mn.gov/MDE/dse/schfin/sped/</w:t>
            </w:r>
          </w:hyperlink>
        </w:p>
        <w:p w:rsidR="00793BE1" w:rsidRPr="00212CFD" w:rsidRDefault="00793BE1" w:rsidP="00212CFD">
          <w:p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>MDE’s Early Childhood Special Education Resources</w:t>
          </w:r>
          <w:proofErr w:type="gramStart"/>
          <w:r w:rsidR="00212CFD"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 xml:space="preserve">: </w:t>
          </w:r>
          <w:r w:rsidRPr="00212CFD">
            <w:rPr>
              <w:rFonts w:asciiTheme="minorHAnsi" w:hAnsiTheme="minorHAnsi"/>
              <w:bCs/>
              <w:sz w:val="24"/>
              <w:szCs w:val="24"/>
              <w:lang w:bidi="ar-SA"/>
            </w:rPr>
            <w:t xml:space="preserve"> </w:t>
          </w:r>
          <w:proofErr w:type="gramEnd"/>
          <w:hyperlink r:id="rId17" w:history="1">
            <w:r w:rsidRPr="00212CFD">
              <w:rPr>
                <w:rFonts w:asciiTheme="minorHAnsi" w:hAnsiTheme="minorHAnsi"/>
                <w:bCs/>
                <w:color w:val="0070C0"/>
                <w:sz w:val="24"/>
                <w:szCs w:val="24"/>
                <w:u w:val="single"/>
                <w:lang w:bidi="ar-SA"/>
              </w:rPr>
              <w:t>http://education.state.mn.us/MDE/dse/ecse/bc/</w:t>
            </w:r>
          </w:hyperlink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Cs/>
              <w:sz w:val="24"/>
              <w:szCs w:val="24"/>
              <w:lang w:bidi="ar-SA"/>
            </w:rPr>
            <w:t>Part C and Preschool post-referral pathways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Part C Eligibility determination flowchart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Family Outcome Surveys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Transition Guidance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Informed Clinical Opinion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3</w:t>
          </w:r>
          <w:r w:rsidRPr="00212CFD">
            <w:rPr>
              <w:rFonts w:asciiTheme="minorHAnsi" w:eastAsia="Calibri" w:hAnsiTheme="minorHAnsi"/>
              <w:sz w:val="24"/>
              <w:szCs w:val="24"/>
              <w:vertAlign w:val="superscript"/>
              <w:lang w:bidi="ar-SA"/>
            </w:rPr>
            <w:t>rd</w:t>
          </w: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 xml:space="preserve"> Party Billing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3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Determining parent; when to appoint a surrogate</w:t>
          </w:r>
        </w:p>
        <w:p w:rsidR="00793BE1" w:rsidRPr="00212CFD" w:rsidRDefault="00793BE1" w:rsidP="00212CFD">
          <w:pPr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>Summary of Part C Procedural Safeguards</w:t>
          </w:r>
        </w:p>
        <w:p w:rsidR="0045375C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u w:val="single"/>
              <w:lang w:bidi="ar-SA"/>
            </w:rPr>
          </w:pPr>
          <w:hyperlink r:id="rId18" w:history="1">
            <w:r w:rsidR="0045375C" w:rsidRPr="0045375C">
              <w:rPr>
                <w:rStyle w:val="Hyperlink"/>
                <w:rFonts w:asciiTheme="minorHAnsi" w:eastAsia="Calibri" w:hAnsiTheme="minorHAnsi"/>
                <w:sz w:val="24"/>
                <w:szCs w:val="24"/>
                <w:lang w:bidi="ar-SA"/>
              </w:rPr>
              <w:t>https://education.mn.gov/MDE/fam/ecse/</w:t>
            </w:r>
          </w:hyperlink>
        </w:p>
        <w:p w:rsidR="00793BE1" w:rsidRPr="00212CFD" w:rsidRDefault="00793BE1" w:rsidP="00212CFD">
          <w:pPr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/>
              <w:bCs/>
              <w:sz w:val="24"/>
              <w:szCs w:val="24"/>
              <w:lang w:bidi="ar-SA"/>
            </w:rPr>
            <w:t>Help Me Grow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19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http://helpmegrowmn.org/HMG/index.htm</w:t>
            </w:r>
          </w:hyperlink>
        </w:p>
        <w:p w:rsidR="00793BE1" w:rsidRPr="00212CFD" w:rsidRDefault="00793BE1" w:rsidP="00212CFD">
          <w:pPr>
            <w:spacing w:after="0"/>
            <w:ind w:firstLine="360"/>
            <w:rPr>
              <w:rFonts w:asciiTheme="minorHAnsi" w:eastAsia="Calibri" w:hAnsiTheme="minorHAnsi"/>
              <w:b/>
              <w:i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i/>
              <w:sz w:val="24"/>
              <w:szCs w:val="24"/>
              <w:lang w:bidi="ar-SA"/>
            </w:rPr>
            <w:t xml:space="preserve">Under “For Professionals” 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4"/>
            </w:numPr>
            <w:spacing w:before="0"/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Colorado’s Database of Established Conditions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4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Growing list of additional resources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4"/>
            </w:numPr>
            <w:rPr>
              <w:rFonts w:asciiTheme="minorHAnsi" w:hAnsiTheme="minorHAnsi"/>
              <w:bCs/>
              <w:sz w:val="24"/>
              <w:szCs w:val="24"/>
              <w:lang w:bidi="ar-SA"/>
            </w:rPr>
          </w:pPr>
          <w:r w:rsidRPr="00212CFD">
            <w:rPr>
              <w:rFonts w:asciiTheme="minorHAnsi" w:hAnsiTheme="minorHAnsi"/>
              <w:bCs/>
              <w:sz w:val="24"/>
              <w:szCs w:val="24"/>
              <w:lang w:bidi="ar-SA"/>
            </w:rPr>
            <w:t>Regulatory Guidance</w:t>
          </w:r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 xml:space="preserve">Part C Electronic Code of Federal Regulations </w:t>
          </w:r>
        </w:p>
        <w:p w:rsidR="00793BE1" w:rsidRPr="005A7572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0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http://www.ecfr.gov/cgi-bin/text-idx?tpl=/ecfrbrowse/Title34/34cfr303_main_02.tpl</w:t>
            </w:r>
          </w:hyperlink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lastRenderedPageBreak/>
            <w:t xml:space="preserve">Part B Electronic Code of Federal Regulations 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1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http://www.ecfr.gov/cgi-bin/text-idx?tpl=/ecfrbrowse/Title34/34cfr300_main_02.tpl</w:t>
            </w:r>
          </w:hyperlink>
        </w:p>
        <w:p w:rsidR="00793BE1" w:rsidRPr="00212CFD" w:rsidRDefault="00C84B77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Office of Minnesota</w:t>
          </w:r>
          <w:r w:rsidR="00793BE1"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 xml:space="preserve"> </w:t>
          </w:r>
          <w:proofErr w:type="spellStart"/>
          <w:r w:rsidR="00793BE1"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Revisor</w:t>
          </w:r>
          <w:proofErr w:type="spellEnd"/>
          <w:r w:rsidR="00793BE1"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 xml:space="preserve"> of Statutes 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2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https://www.revisor.mn.gov/</w:t>
            </w:r>
          </w:hyperlink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MN Special Education Rule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3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https://www.revisor.mn.gov/rules/?id=3525</w:t>
            </w:r>
          </w:hyperlink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MN Education Code in Statute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4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https://www.revisor.mn.gov/statutes/?view=part&amp;header=EDUCATION+CODE%3A+PREKINDERGARTEN+-+GRADE+12</w:t>
            </w:r>
          </w:hyperlink>
        </w:p>
        <w:p w:rsidR="00793BE1" w:rsidRPr="00212CFD" w:rsidRDefault="00793BE1" w:rsidP="00212CFD">
          <w:pPr>
            <w:pStyle w:val="Heading2"/>
            <w:rPr>
              <w:lang w:bidi="ar-SA"/>
            </w:rPr>
          </w:pPr>
          <w:r w:rsidRPr="00212CFD">
            <w:rPr>
              <w:lang w:bidi="ar-SA"/>
            </w:rPr>
            <w:t>Additional Resources</w:t>
          </w:r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Minnesota Centers of Excellence for Young Children with Disabilities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u w:val="single"/>
              <w:lang w:bidi="ar-SA"/>
            </w:rPr>
          </w:pPr>
          <w:hyperlink r:id="rId25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www.mncoe.org</w:t>
            </w:r>
          </w:hyperlink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Calendar of professional development information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Resources to build program quality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Information on supported innovations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Family-guided, routines-based intervention (FGRBI)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Pyramid Model</w:t>
          </w:r>
        </w:p>
        <w:p w:rsidR="00793BE1" w:rsidRPr="00212CFD" w:rsidRDefault="00793BE1" w:rsidP="00212CFD">
          <w:pPr>
            <w:pStyle w:val="ListParagraph"/>
            <w:numPr>
              <w:ilvl w:val="0"/>
              <w:numId w:val="35"/>
            </w:numPr>
            <w:rPr>
              <w:rFonts w:asciiTheme="minorHAnsi" w:eastAsia="Calibri" w:hAnsiTheme="minorHAnsi"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sz w:val="24"/>
              <w:szCs w:val="24"/>
              <w:lang w:bidi="ar-SA"/>
            </w:rPr>
            <w:t>Classroom Engagement Model</w:t>
          </w:r>
        </w:p>
        <w:p w:rsidR="005A7572" w:rsidRDefault="005A7572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 xml:space="preserve">National Institute for Early Education Research </w:t>
          </w:r>
        </w:p>
        <w:p w:rsidR="005A7572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lang w:bidi="ar-SA"/>
            </w:rPr>
          </w:pPr>
          <w:hyperlink r:id="rId26" w:history="1">
            <w:r w:rsidR="005A7572" w:rsidRPr="00B42EDF">
              <w:rPr>
                <w:rStyle w:val="Hyperlink"/>
                <w:rFonts w:asciiTheme="minorHAnsi" w:eastAsia="Calibri" w:hAnsiTheme="minorHAnsi"/>
                <w:sz w:val="24"/>
                <w:szCs w:val="24"/>
                <w:lang w:bidi="ar-SA"/>
              </w:rPr>
              <w:t>http://nieer.org/</w:t>
            </w:r>
          </w:hyperlink>
        </w:p>
        <w:p w:rsidR="00793BE1" w:rsidRPr="00212CFD" w:rsidRDefault="00793BE1" w:rsidP="00212CFD">
          <w:pPr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</w:pPr>
          <w:r w:rsidRPr="00212CFD">
            <w:rPr>
              <w:rFonts w:asciiTheme="minorHAnsi" w:eastAsia="Calibri" w:hAnsiTheme="minorHAnsi"/>
              <w:b/>
              <w:sz w:val="24"/>
              <w:szCs w:val="24"/>
              <w:lang w:bidi="ar-SA"/>
            </w:rPr>
            <w:t>National Early Childhood Technical Assistance Center</w:t>
          </w:r>
        </w:p>
        <w:p w:rsidR="00793BE1" w:rsidRPr="00212CFD" w:rsidRDefault="008D7EBF" w:rsidP="00212CFD">
          <w:pPr>
            <w:rPr>
              <w:rFonts w:asciiTheme="minorHAnsi" w:eastAsia="Calibri" w:hAnsiTheme="minorHAnsi"/>
              <w:color w:val="0070C0"/>
              <w:sz w:val="24"/>
              <w:szCs w:val="24"/>
              <w:u w:val="single"/>
              <w:lang w:bidi="ar-SA"/>
            </w:rPr>
          </w:pPr>
          <w:hyperlink r:id="rId27" w:history="1">
            <w:r w:rsidR="00793BE1" w:rsidRPr="00212CFD">
              <w:rPr>
                <w:rFonts w:asciiTheme="minorHAnsi" w:eastAsia="Calibri" w:hAnsiTheme="minorHAnsi"/>
                <w:color w:val="0070C0"/>
                <w:sz w:val="24"/>
                <w:szCs w:val="24"/>
                <w:u w:val="single"/>
                <w:lang w:bidi="ar-SA"/>
              </w:rPr>
              <w:t>http://ectacenter.org/portal/portal.asp</w:t>
            </w:r>
          </w:hyperlink>
        </w:p>
        <w:p w:rsidR="00793BE1" w:rsidRPr="00212CFD" w:rsidRDefault="00212CFD" w:rsidP="00212CFD">
          <w:pPr>
            <w:rPr>
              <w:rFonts w:ascii="Arial" w:eastAsia="Calibri" w:hAnsi="Arial"/>
              <w:b/>
              <w:lang w:bidi="ar-SA"/>
            </w:rPr>
          </w:pPr>
          <w:r w:rsidRPr="00212CFD">
            <w:rPr>
              <w:rFonts w:ascii="Arial" w:eastAsia="Calibri" w:hAnsi="Arial"/>
              <w:b/>
              <w:lang w:bidi="ar-SA"/>
            </w:rPr>
            <w:t xml:space="preserve">Minnesota </w:t>
          </w:r>
          <w:r w:rsidR="00793BE1" w:rsidRPr="00212CFD">
            <w:rPr>
              <w:rFonts w:ascii="Arial" w:eastAsia="Calibri" w:hAnsi="Arial"/>
              <w:b/>
              <w:lang w:bidi="ar-SA"/>
            </w:rPr>
            <w:t>District Data Profiles</w:t>
          </w:r>
        </w:p>
        <w:p w:rsidR="005A7572" w:rsidRDefault="008D7EBF" w:rsidP="0016050A">
          <w:pPr>
            <w:rPr>
              <w:rStyle w:val="Hyperlink"/>
              <w:sz w:val="24"/>
              <w:szCs w:val="24"/>
            </w:rPr>
          </w:pPr>
          <w:hyperlink r:id="rId28" w:history="1">
            <w:r w:rsidR="00D12B1C" w:rsidRPr="00DC4B51">
              <w:rPr>
                <w:rStyle w:val="Hyperlink"/>
                <w:sz w:val="24"/>
                <w:szCs w:val="24"/>
              </w:rPr>
              <w:t>https://w20.education.state.mn.us/MDEAnalytics/Data.jsp</w:t>
            </w:r>
          </w:hyperlink>
        </w:p>
        <w:p w:rsidR="00E7358D" w:rsidRDefault="008D7EBF" w:rsidP="0016050A"/>
      </w:sdtContent>
    </w:sdt>
    <w:sectPr w:rsidR="00E7358D" w:rsidSect="005A7572">
      <w:footerReference w:type="first" r:id="rId29"/>
      <w:type w:val="continuous"/>
      <w:pgSz w:w="12240" w:h="15840" w:code="1"/>
      <w:pgMar w:top="1008" w:right="1080" w:bottom="1008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EE" w:rsidRDefault="00AD62EE" w:rsidP="00D91FF4">
      <w:r>
        <w:separator/>
      </w:r>
    </w:p>
  </w:endnote>
  <w:endnote w:type="continuationSeparator" w:id="0">
    <w:p w:rsidR="00AD62EE" w:rsidRDefault="00AD62E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EE" w:rsidRDefault="00AD62EE" w:rsidP="00D91FF4">
      <w:r>
        <w:separator/>
      </w:r>
    </w:p>
  </w:footnote>
  <w:footnote w:type="continuationSeparator" w:id="0">
    <w:p w:rsidR="00AD62EE" w:rsidRDefault="00AD62E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26pt" o:bullet="t">
        <v:imagedata r:id="rId1" o:title="Art_Bullet_Green-Svc-Descr"/>
      </v:shape>
    </w:pict>
  </w:numPicBullet>
  <w:abstractNum w:abstractNumId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88039F"/>
    <w:multiLevelType w:val="hybridMultilevel"/>
    <w:tmpl w:val="467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527B7"/>
    <w:multiLevelType w:val="hybridMultilevel"/>
    <w:tmpl w:val="C380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05150"/>
    <w:multiLevelType w:val="hybridMultilevel"/>
    <w:tmpl w:val="35B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85FC2"/>
    <w:multiLevelType w:val="hybridMultilevel"/>
    <w:tmpl w:val="BE5A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6D52B68"/>
    <w:multiLevelType w:val="hybridMultilevel"/>
    <w:tmpl w:val="FB7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21A3"/>
    <w:multiLevelType w:val="hybridMultilevel"/>
    <w:tmpl w:val="630C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C4823"/>
    <w:multiLevelType w:val="hybridMultilevel"/>
    <w:tmpl w:val="537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4"/>
  </w:num>
  <w:num w:numId="5">
    <w:abstractNumId w:val="21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2"/>
  </w:num>
  <w:num w:numId="12">
    <w:abstractNumId w:val="28"/>
  </w:num>
  <w:num w:numId="13">
    <w:abstractNumId w:val="29"/>
  </w:num>
  <w:num w:numId="14">
    <w:abstractNumId w:val="19"/>
  </w:num>
  <w:num w:numId="15">
    <w:abstractNumId w:val="2"/>
  </w:num>
  <w:num w:numId="16">
    <w:abstractNumId w:val="29"/>
  </w:num>
  <w:num w:numId="17">
    <w:abstractNumId w:val="19"/>
  </w:num>
  <w:num w:numId="18">
    <w:abstractNumId w:val="12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4"/>
  </w:num>
  <w:num w:numId="28">
    <w:abstractNumId w:val="9"/>
  </w:num>
  <w:num w:numId="29">
    <w:abstractNumId w:val="18"/>
  </w:num>
  <w:num w:numId="30">
    <w:abstractNumId w:val="16"/>
  </w:num>
  <w:num w:numId="31">
    <w:abstractNumId w:val="4"/>
  </w:num>
  <w:num w:numId="32">
    <w:abstractNumId w:val="17"/>
  </w:num>
  <w:num w:numId="33">
    <w:abstractNumId w:val="22"/>
  </w:num>
  <w:num w:numId="34">
    <w:abstractNumId w:val="30"/>
  </w:num>
  <w:num w:numId="35">
    <w:abstractNumId w:val="20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NDY1NbWwNDIyMDFQ0lEKTi0uzszPAykwrAUAOI0RWywAAAA="/>
  </w:docVars>
  <w:rsids>
    <w:rsidRoot w:val="00793BE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2CFD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5375C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A7572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6F4396"/>
    <w:rsid w:val="00703012"/>
    <w:rsid w:val="007137A4"/>
    <w:rsid w:val="0074778B"/>
    <w:rsid w:val="0077225E"/>
    <w:rsid w:val="007857F7"/>
    <w:rsid w:val="00793BE1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D7EBF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2007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D62EE"/>
    <w:rsid w:val="00AE5772"/>
    <w:rsid w:val="00AF22AD"/>
    <w:rsid w:val="00AF5107"/>
    <w:rsid w:val="00AF6C27"/>
    <w:rsid w:val="00B06264"/>
    <w:rsid w:val="00B07C8F"/>
    <w:rsid w:val="00B22D22"/>
    <w:rsid w:val="00B275D4"/>
    <w:rsid w:val="00B437C8"/>
    <w:rsid w:val="00B61640"/>
    <w:rsid w:val="00B75051"/>
    <w:rsid w:val="00B77CC5"/>
    <w:rsid w:val="00B859DE"/>
    <w:rsid w:val="00BC588A"/>
    <w:rsid w:val="00BC5C26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84B77"/>
    <w:rsid w:val="00C90830"/>
    <w:rsid w:val="00CA5D23"/>
    <w:rsid w:val="00CE0FEE"/>
    <w:rsid w:val="00CE45B0"/>
    <w:rsid w:val="00CF1393"/>
    <w:rsid w:val="00CF4F3A"/>
    <w:rsid w:val="00D0014D"/>
    <w:rsid w:val="00D059F7"/>
    <w:rsid w:val="00D12B1C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Body Text" w:qFormat="1"/>
    <w:lsdException w:name="Subtitle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Ind w:w="0" w:type="dxa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D12B1C"/>
    <w:rPr>
      <w:color w:val="5D295F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7EB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7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9"/>
    <w:lsdException w:name="toc 2" w:uiPriority="39"/>
    <w:lsdException w:name="header" w:uiPriority="99"/>
    <w:lsdException w:name="footer" w:uiPriority="99" w:qFormat="1"/>
    <w:lsdException w:name="index heading" w:uiPriority="9"/>
    <w:lsdException w:name="caption" w:uiPriority="29" w:qFormat="1"/>
    <w:lsdException w:name="List Number" w:semiHidden="0" w:unhideWhenUsed="0"/>
    <w:lsdException w:name="List 4" w:unhideWhenUsed="0"/>
    <w:lsdException w:name="List 5" w:unhideWhenUsed="0"/>
    <w:lsdException w:name="Title" w:semiHidden="0" w:uiPriority="10" w:unhideWhenUsed="0"/>
    <w:lsdException w:name="Closing" w:qFormat="1"/>
    <w:lsdException w:name="Signature" w:qFormat="1"/>
    <w:lsdException w:name="Default Paragraph Font" w:uiPriority="1"/>
    <w:lsdException w:name="Body Text" w:qFormat="1"/>
    <w:lsdException w:name="Subtitle" w:uiPriority="11" w:unhideWhenUsed="0"/>
    <w:lsdException w:name="Salutation" w:unhideWhenUsed="0" w:qFormat="1"/>
    <w:lsdException w:name="Date" w:unhideWhenUsed="0"/>
    <w:lsdException w:name="Body Text First Indent" w:unhideWhenUsed="0"/>
    <w:lsdException w:name="Body Text 2" w:qFormat="1"/>
    <w:lsdException w:name="Body Text 3" w:qFormat="1"/>
    <w:lsdException w:name="Hyperlink" w:uiPriority="99"/>
    <w:lsdException w:name="Strong" w:semiHidden="0" w:uiPriority="22" w:unhideWhenUsed="0"/>
    <w:lsdException w:name="Emphasis" w:semiHidden="0" w:uiPriority="2" w:unhideWhenUsed="0" w:qFormat="1"/>
    <w:lsdException w:name="Normal (Web)" w:uiPriority="99"/>
    <w:lsdException w:name="HTML Variable" w:uiPriority="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" w:unhideWhenUsed="0" w:qFormat="1"/>
    <w:lsdException w:name="Subtle Reference" w:semiHidden="0" w:uiPriority="33" w:unhideWhenUsed="0"/>
    <w:lsdException w:name="Intense Reference" w:semiHidden="0" w:uiPriority="34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Ind w:w="0" w:type="dxa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D12B1C"/>
    <w:rPr>
      <w:color w:val="5D295F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7EB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7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www.ecfr.gov/cgi-bin/text-idx?tpl=/ecfrbrowse/Title34/34cfr303_main_02.tpl" TargetMode="External"/><Relationship Id="rId21" Type="http://schemas.openxmlformats.org/officeDocument/2006/relationships/hyperlink" Target="http://www.ecfr.gov/cgi-bin/text-idx?tpl=/ecfrbrowse/Title34/34cfr300_main_02.tpl" TargetMode="External"/><Relationship Id="rId22" Type="http://schemas.openxmlformats.org/officeDocument/2006/relationships/hyperlink" Target="https://www.revisor.mn.gov/" TargetMode="External"/><Relationship Id="rId23" Type="http://schemas.openxmlformats.org/officeDocument/2006/relationships/hyperlink" Target="https://www.revisor.mn.gov/rules/?id=3525" TargetMode="External"/><Relationship Id="rId24" Type="http://schemas.openxmlformats.org/officeDocument/2006/relationships/hyperlink" Target="https://www.revisor.mn.gov/statutes/?view=part&amp;header=EDUCATION+CODE%3A+PREKINDERGARTEN+-+GRADE+12" TargetMode="External"/><Relationship Id="rId25" Type="http://schemas.openxmlformats.org/officeDocument/2006/relationships/hyperlink" Target="http://www.mncoe.org" TargetMode="External"/><Relationship Id="rId26" Type="http://schemas.openxmlformats.org/officeDocument/2006/relationships/hyperlink" Target="http://nieer.org/" TargetMode="External"/><Relationship Id="rId27" Type="http://schemas.openxmlformats.org/officeDocument/2006/relationships/hyperlink" Target="http://ectacenter.org/portal/portal.asp" TargetMode="External"/><Relationship Id="rId28" Type="http://schemas.openxmlformats.org/officeDocument/2006/relationships/hyperlink" Target="https://w20.education.state.mn.us/MDEAnalytics/Data.jsp" TargetMode="Externa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2.png"/><Relationship Id="rId13" Type="http://schemas.openxmlformats.org/officeDocument/2006/relationships/hyperlink" Target="https://education.mn.gov/MDE/fam/open/" TargetMode="External"/><Relationship Id="rId14" Type="http://schemas.openxmlformats.org/officeDocument/2006/relationships/hyperlink" Target="https://education.mn.gov/MDE/dse/early/vpk/" TargetMode="External"/><Relationship Id="rId15" Type="http://schemas.openxmlformats.org/officeDocument/2006/relationships/hyperlink" Target="https://education.mn.gov/MDE/dse/early/vpk/res/" TargetMode="External"/><Relationship Id="rId16" Type="http://schemas.openxmlformats.org/officeDocument/2006/relationships/hyperlink" Target="https://education.mn.gov/MDE/dse/schfin/sped/" TargetMode="External"/><Relationship Id="rId17" Type="http://schemas.openxmlformats.org/officeDocument/2006/relationships/hyperlink" Target="http://education.state.mn.us/MDE/dse/ecse/bc/" TargetMode="External"/><Relationship Id="rId18" Type="http://schemas.openxmlformats.org/officeDocument/2006/relationships/hyperlink" Target="https://education.mn.gov/MDE/fam/ecse/" TargetMode="External"/><Relationship Id="rId19" Type="http://schemas.openxmlformats.org/officeDocument/2006/relationships/hyperlink" Target="http://helpmegrowmn.org/HMG/index.ht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4669E-F88D-0C43-B734-6B1EA6A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Lisa</dc:creator>
  <cp:keywords/>
  <dc:description/>
  <cp:lastModifiedBy>JEANNA QUINN VOHNOUTKA</cp:lastModifiedBy>
  <cp:revision>2</cp:revision>
  <dcterms:created xsi:type="dcterms:W3CDTF">2018-05-02T13:45:00Z</dcterms:created>
  <dcterms:modified xsi:type="dcterms:W3CDTF">2018-05-02T13:45:00Z</dcterms:modified>
</cp:coreProperties>
</file>